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7DC8AD">
      <w:pPr>
        <w:jc w:val="left"/>
        <w:rPr>
          <w:rFonts w:hint="eastAsia" w:ascii="黑体" w:hAnsi="黑体" w:eastAsia="黑体" w:cs="黑体"/>
          <w:b w:val="0"/>
          <w:bCs w:val="0"/>
          <w:kern w:val="36"/>
          <w:sz w:val="32"/>
          <w:szCs w:val="32"/>
          <w:lang w:val="en-US" w:eastAsia="zh-CN"/>
        </w:rPr>
      </w:pPr>
      <w:r>
        <w:rPr>
          <w:rFonts w:hint="eastAsia" w:ascii="黑体" w:hAnsi="黑体" w:eastAsia="黑体" w:cs="黑体"/>
          <w:b w:val="0"/>
          <w:bCs w:val="0"/>
          <w:kern w:val="36"/>
          <w:sz w:val="32"/>
          <w:szCs w:val="32"/>
          <w:lang w:val="en-US" w:eastAsia="zh-CN"/>
        </w:rPr>
        <w:t>附件1</w:t>
      </w:r>
    </w:p>
    <w:p w14:paraId="3E902565">
      <w:pPr>
        <w:jc w:val="center"/>
        <w:rPr>
          <w:rFonts w:ascii="Tahoma" w:hAnsi="Tahoma" w:eastAsia="宋体" w:cs="Tahoma"/>
          <w:b/>
          <w:bCs/>
          <w:kern w:val="36"/>
          <w:sz w:val="36"/>
          <w:szCs w:val="36"/>
        </w:rPr>
      </w:pPr>
      <w:r>
        <w:rPr>
          <w:rFonts w:ascii="Tahoma" w:hAnsi="Tahoma" w:eastAsia="宋体" w:cs="Tahoma"/>
          <w:b/>
          <w:bCs/>
          <w:kern w:val="36"/>
          <w:sz w:val="36"/>
          <w:szCs w:val="36"/>
        </w:rPr>
        <w:t>贵州医科大学第三附属医院</w:t>
      </w:r>
    </w:p>
    <w:p w14:paraId="62E8EF07">
      <w:pPr>
        <w:pStyle w:val="2"/>
        <w:numPr>
          <w:ilvl w:val="0"/>
          <w:numId w:val="0"/>
        </w:numPr>
        <w:ind w:left="0" w:leftChars="0" w:firstLine="0" w:firstLineChars="0"/>
        <w:jc w:val="center"/>
        <w:rPr>
          <w:rFonts w:hint="eastAsia"/>
        </w:rPr>
      </w:pPr>
      <w:r>
        <w:rPr>
          <w:rFonts w:hint="eastAsia" w:ascii="新宋体" w:hAnsi="新宋体" w:eastAsia="新宋体" w:cs="新宋体"/>
          <w:b/>
          <w:sz w:val="36"/>
          <w:szCs w:val="36"/>
          <w:shd w:val="clear" w:color="auto" w:fill="FFFFFF"/>
        </w:rPr>
        <w:t>网络安全等级保护测评服务项目要求及服务内容</w:t>
      </w:r>
    </w:p>
    <w:p w14:paraId="2803FAFE">
      <w:pPr>
        <w:pStyle w:val="2"/>
        <w:numPr>
          <w:ilvl w:val="0"/>
          <w:numId w:val="0"/>
        </w:numPr>
        <w:ind w:left="0" w:leftChars="0" w:firstLine="0" w:firstLineChars="0"/>
        <w:rPr>
          <w:rFonts w:hint="eastAsia"/>
        </w:rPr>
      </w:pPr>
      <w:r>
        <w:rPr>
          <w:rFonts w:hint="eastAsia"/>
          <w:lang w:val="en-US" w:eastAsia="zh-CN"/>
        </w:rPr>
        <w:t>一、</w:t>
      </w:r>
      <w:r>
        <w:rPr>
          <w:rFonts w:hint="eastAsia"/>
        </w:rPr>
        <w:t>技术服务要求</w:t>
      </w:r>
    </w:p>
    <w:p w14:paraId="30EB6E7C">
      <w:pPr>
        <w:pStyle w:val="7"/>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1、服务规范标准</w:t>
      </w:r>
    </w:p>
    <w:p w14:paraId="52FA5DFE">
      <w:pPr>
        <w:pStyle w:val="7"/>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《信息安全技术网络安全等级保护基本要求》（GB/T22239-2019）</w:t>
      </w:r>
    </w:p>
    <w:p w14:paraId="69F4B608">
      <w:pPr>
        <w:pStyle w:val="7"/>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《信息安全技术网络安全等级保护测评要求》（GB/T28448-2019）</w:t>
      </w:r>
    </w:p>
    <w:p w14:paraId="6BF84C29">
      <w:pPr>
        <w:pStyle w:val="7"/>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《信息安全技术网络安全等级保护安全设计技术要求》（GB/T25070-2019）</w:t>
      </w:r>
    </w:p>
    <w:p w14:paraId="2F8EB961">
      <w:pPr>
        <w:pStyle w:val="7"/>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《信息安全技术网络安全等级保护定级指南》(GB/T22240-2020)</w:t>
      </w:r>
    </w:p>
    <w:p w14:paraId="116A9B14">
      <w:pPr>
        <w:pStyle w:val="7"/>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《信息安全技术网络安全等级保护实施指南》(GB/T25058-2019）</w:t>
      </w:r>
    </w:p>
    <w:p w14:paraId="41CC03C4">
      <w:pPr>
        <w:pStyle w:val="7"/>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《信息安全技术网络安全等级保护测评过程指南》(GB/T28449-2018)</w:t>
      </w:r>
    </w:p>
    <w:p w14:paraId="4AB94434">
      <w:pPr>
        <w:pStyle w:val="7"/>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《信息安全技术网络安全等级保护测试评估技术指南》（GB/T36627-2018）</w:t>
      </w:r>
    </w:p>
    <w:p w14:paraId="407A5C1A">
      <w:pPr>
        <w:pStyle w:val="7"/>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《信息安全等级保护管理办法》(公通字〔2007〕43号)</w:t>
      </w:r>
    </w:p>
    <w:p w14:paraId="312C29C9">
      <w:pPr>
        <w:pStyle w:val="7"/>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《中华人民共和国网络安全法》</w:t>
      </w:r>
    </w:p>
    <w:p w14:paraId="064BE3C8">
      <w:pPr>
        <w:pStyle w:val="7"/>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《关于开展信息系统等级保护安全建设整改工作的指导意见》（公信安[2009]1429号）</w:t>
      </w:r>
    </w:p>
    <w:p w14:paraId="286E2861">
      <w:pPr>
        <w:pStyle w:val="7"/>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《计算机信息系统安全保护等级划分准则》（GB17859-1999）</w:t>
      </w:r>
    </w:p>
    <w:p w14:paraId="250FD7F9">
      <w:pPr>
        <w:pStyle w:val="7"/>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《信息系统通用安全技术要求》（GB/T20271-2006）</w:t>
      </w:r>
    </w:p>
    <w:p w14:paraId="6BDD30EA">
      <w:pPr>
        <w:pStyle w:val="7"/>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《信息系统安全管理要求》（GB/T20269-2006）</w:t>
      </w:r>
    </w:p>
    <w:p w14:paraId="1FAA6976">
      <w:pPr>
        <w:pStyle w:val="7"/>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《信息系统安全管理测评》（GA/T713-2007）</w:t>
      </w:r>
    </w:p>
    <w:p w14:paraId="679C8F6F">
      <w:pPr>
        <w:pStyle w:val="7"/>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《操作系统安全技术要求》（GB/T20272-2019）</w:t>
      </w:r>
    </w:p>
    <w:p w14:paraId="7C377EAC">
      <w:pPr>
        <w:pStyle w:val="7"/>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《数据库管理系统安全评估准则》（GB/T20009-2019）</w:t>
      </w:r>
    </w:p>
    <w:p w14:paraId="78037528">
      <w:pPr>
        <w:pStyle w:val="7"/>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其他相关国家标准、规范</w:t>
      </w:r>
    </w:p>
    <w:p w14:paraId="246C433F">
      <w:pPr>
        <w:numPr>
          <w:ilvl w:val="0"/>
          <w:numId w:val="0"/>
        </w:numPr>
        <w:kinsoku w:val="0"/>
        <w:autoSpaceDE w:val="0"/>
        <w:autoSpaceDN w:val="0"/>
        <w:adjustRightInd w:val="0"/>
        <w:snapToGrid w:val="0"/>
        <w:spacing w:after="160"/>
        <w:textAlignment w:val="baseline"/>
        <w:rPr>
          <w:rFonts w:hint="eastAsia"/>
        </w:rPr>
      </w:pPr>
    </w:p>
    <w:p w14:paraId="3874D205">
      <w:pPr>
        <w:numPr>
          <w:ilvl w:val="0"/>
          <w:numId w:val="0"/>
        </w:numPr>
        <w:kinsoku w:val="0"/>
        <w:autoSpaceDE w:val="0"/>
        <w:autoSpaceDN w:val="0"/>
        <w:adjustRightInd w:val="0"/>
        <w:snapToGrid w:val="0"/>
        <w:spacing w:after="160"/>
        <w:textAlignment w:val="baseline"/>
        <w:rPr>
          <w:rFonts w:hint="eastAsia"/>
        </w:rPr>
      </w:pPr>
    </w:p>
    <w:p w14:paraId="6D3726D6">
      <w:pPr>
        <w:numPr>
          <w:ilvl w:val="0"/>
          <w:numId w:val="0"/>
        </w:numPr>
        <w:kinsoku w:val="0"/>
        <w:autoSpaceDE w:val="0"/>
        <w:autoSpaceDN w:val="0"/>
        <w:adjustRightInd w:val="0"/>
        <w:snapToGrid w:val="0"/>
        <w:spacing w:after="160"/>
        <w:textAlignment w:val="baseline"/>
        <w:rPr>
          <w:rFonts w:hint="eastAsia"/>
        </w:rPr>
      </w:pPr>
    </w:p>
    <w:p w14:paraId="20BF555C">
      <w:pPr>
        <w:numPr>
          <w:ilvl w:val="0"/>
          <w:numId w:val="0"/>
        </w:numPr>
        <w:kinsoku w:val="0"/>
        <w:autoSpaceDE w:val="0"/>
        <w:autoSpaceDN w:val="0"/>
        <w:adjustRightInd w:val="0"/>
        <w:snapToGrid w:val="0"/>
        <w:spacing w:after="160"/>
        <w:textAlignment w:val="baseline"/>
        <w:rPr>
          <w:rFonts w:hint="eastAsia"/>
        </w:rPr>
      </w:pPr>
    </w:p>
    <w:p w14:paraId="51995697">
      <w:pPr>
        <w:numPr>
          <w:ilvl w:val="0"/>
          <w:numId w:val="0"/>
        </w:numPr>
        <w:kinsoku w:val="0"/>
        <w:autoSpaceDE w:val="0"/>
        <w:autoSpaceDN w:val="0"/>
        <w:adjustRightInd w:val="0"/>
        <w:snapToGrid w:val="0"/>
        <w:spacing w:after="160"/>
        <w:textAlignment w:val="baseline"/>
        <w:rPr>
          <w:rFonts w:hint="eastAsia"/>
        </w:rPr>
      </w:pPr>
    </w:p>
    <w:p w14:paraId="7472CAFA">
      <w:pPr>
        <w:numPr>
          <w:ilvl w:val="0"/>
          <w:numId w:val="0"/>
        </w:numPr>
        <w:kinsoku w:val="0"/>
        <w:autoSpaceDE w:val="0"/>
        <w:autoSpaceDN w:val="0"/>
        <w:adjustRightInd w:val="0"/>
        <w:snapToGrid w:val="0"/>
        <w:spacing w:after="160"/>
        <w:textAlignment w:val="baseline"/>
        <w:rPr>
          <w:rFonts w:hint="eastAsia"/>
        </w:rPr>
      </w:pPr>
    </w:p>
    <w:p w14:paraId="72CFC85F">
      <w:pPr>
        <w:pStyle w:val="7"/>
        <w:keepNext/>
        <w:keepLines w:val="0"/>
        <w:pageBreakBefore w:val="0"/>
        <w:widowControl/>
        <w:numPr>
          <w:ilvl w:val="0"/>
          <w:numId w:val="0"/>
        </w:numPr>
        <w:kinsoku w:val="0"/>
        <w:wordWrap/>
        <w:overflowPunct/>
        <w:topLinePunct w:val="0"/>
        <w:autoSpaceDE w:val="0"/>
        <w:autoSpaceDN w:val="0"/>
        <w:bidi w:val="0"/>
        <w:adjustRightInd w:val="0"/>
        <w:snapToGrid w:val="0"/>
        <w:spacing w:after="0" w:line="360" w:lineRule="auto"/>
        <w:ind w:firstLine="480" w:firstLineChars="200"/>
        <w:jc w:val="both"/>
        <w:textAlignment w:val="baseline"/>
        <w:rPr>
          <w:rFonts w:hint="eastAsia" w:eastAsia="宋体"/>
          <w:lang w:eastAsia="zh-CN"/>
        </w:rPr>
      </w:pPr>
      <w:r>
        <w:rPr>
          <w:rFonts w:hint="eastAsia" w:ascii="宋体" w:hAnsi="宋体" w:eastAsia="宋体" w:cs="宋体"/>
          <w:snapToGrid w:val="0"/>
          <w:color w:val="000000"/>
          <w:sz w:val="24"/>
          <w:szCs w:val="24"/>
          <w:lang w:val="en-US" w:eastAsia="zh-CN" w:bidi="ar-SA"/>
        </w:rPr>
        <w:t>2、</w:t>
      </w:r>
      <w:r>
        <w:rPr>
          <w:rFonts w:hint="eastAsia" w:ascii="宋体" w:hAnsi="宋体" w:eastAsia="宋体" w:cs="宋体"/>
          <w:sz w:val="24"/>
          <w:szCs w:val="24"/>
        </w:rPr>
        <w:t>网络安全等级保护测评服务内容</w:t>
      </w:r>
    </w:p>
    <w:tbl>
      <w:tblPr>
        <w:tblStyle w:val="12"/>
        <w:tblW w:w="9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1133"/>
        <w:gridCol w:w="7334"/>
      </w:tblGrid>
      <w:tr w14:paraId="20158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53" w:type="dxa"/>
            <w:tcBorders>
              <w:top w:val="single" w:color="auto" w:sz="4" w:space="0"/>
              <w:left w:val="single" w:color="auto" w:sz="4" w:space="0"/>
              <w:bottom w:val="single" w:color="auto" w:sz="4" w:space="0"/>
              <w:right w:val="single" w:color="auto" w:sz="4" w:space="0"/>
            </w:tcBorders>
            <w:shd w:val="clear" w:color="auto" w:fill="D7D7D7"/>
            <w:vAlign w:val="center"/>
          </w:tcPr>
          <w:p w14:paraId="5470F156">
            <w:pPr>
              <w:keepNext w:val="0"/>
              <w:keepLines w:val="0"/>
              <w:pageBreakBefore w:val="0"/>
              <w:widowControl/>
              <w:kinsoku w:val="0"/>
              <w:wordWrap/>
              <w:overflowPunct/>
              <w:topLinePunct w:val="0"/>
              <w:autoSpaceDE w:val="0"/>
              <w:autoSpaceDN w:val="0"/>
              <w:bidi w:val="0"/>
              <w:adjustRightInd w:val="0"/>
              <w:snapToGrid w:val="0"/>
              <w:spacing w:after="0" w:line="360" w:lineRule="auto"/>
              <w:jc w:val="center"/>
              <w:textAlignment w:val="baseline"/>
              <w:rPr>
                <w:rFonts w:hint="eastAsia" w:ascii="宋体" w:hAnsi="宋体" w:eastAsia="宋体" w:cs="宋体"/>
                <w:sz w:val="24"/>
                <w:szCs w:val="24"/>
              </w:rPr>
            </w:pPr>
            <w:bookmarkStart w:id="0" w:name="OLE_LINK1"/>
            <w:r>
              <w:rPr>
                <w:rFonts w:hint="eastAsia" w:ascii="宋体" w:hAnsi="宋体" w:eastAsia="宋体" w:cs="宋体"/>
                <w:sz w:val="24"/>
                <w:szCs w:val="24"/>
              </w:rPr>
              <w:t>序号</w:t>
            </w:r>
          </w:p>
        </w:tc>
        <w:tc>
          <w:tcPr>
            <w:tcW w:w="1133" w:type="dxa"/>
            <w:tcBorders>
              <w:top w:val="single" w:color="auto" w:sz="4" w:space="0"/>
              <w:left w:val="single" w:color="auto" w:sz="4" w:space="0"/>
              <w:bottom w:val="single" w:color="auto" w:sz="4" w:space="0"/>
              <w:right w:val="single" w:color="auto" w:sz="4" w:space="0"/>
            </w:tcBorders>
            <w:shd w:val="clear" w:color="auto" w:fill="D7D7D7"/>
            <w:vAlign w:val="center"/>
          </w:tcPr>
          <w:p w14:paraId="0BE76522">
            <w:pPr>
              <w:keepNext w:val="0"/>
              <w:keepLines w:val="0"/>
              <w:pageBreakBefore w:val="0"/>
              <w:widowControl/>
              <w:kinsoku w:val="0"/>
              <w:wordWrap/>
              <w:overflowPunct/>
              <w:topLinePunct w:val="0"/>
              <w:autoSpaceDE w:val="0"/>
              <w:autoSpaceDN w:val="0"/>
              <w:bidi w:val="0"/>
              <w:adjustRightInd w:val="0"/>
              <w:snapToGrid w:val="0"/>
              <w:spacing w:after="0"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项目</w:t>
            </w:r>
          </w:p>
        </w:tc>
        <w:tc>
          <w:tcPr>
            <w:tcW w:w="7334" w:type="dxa"/>
            <w:tcBorders>
              <w:top w:val="single" w:color="auto" w:sz="4" w:space="0"/>
              <w:left w:val="single" w:color="auto" w:sz="4" w:space="0"/>
              <w:bottom w:val="single" w:color="auto" w:sz="4" w:space="0"/>
              <w:right w:val="single" w:color="auto" w:sz="4" w:space="0"/>
            </w:tcBorders>
            <w:shd w:val="clear" w:color="auto" w:fill="D7D7D7"/>
            <w:vAlign w:val="center"/>
          </w:tcPr>
          <w:p w14:paraId="471F8A9D">
            <w:pPr>
              <w:keepNext w:val="0"/>
              <w:keepLines w:val="0"/>
              <w:pageBreakBefore w:val="0"/>
              <w:widowControl/>
              <w:kinsoku w:val="0"/>
              <w:wordWrap/>
              <w:overflowPunct/>
              <w:topLinePunct w:val="0"/>
              <w:autoSpaceDE w:val="0"/>
              <w:autoSpaceDN w:val="0"/>
              <w:bidi w:val="0"/>
              <w:adjustRightInd w:val="0"/>
              <w:snapToGrid w:val="0"/>
              <w:spacing w:after="0"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要求</w:t>
            </w:r>
          </w:p>
        </w:tc>
      </w:tr>
      <w:tr w14:paraId="384F2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7" w:hRule="atLeast"/>
        </w:trPr>
        <w:tc>
          <w:tcPr>
            <w:tcW w:w="753" w:type="dxa"/>
            <w:tcBorders>
              <w:top w:val="single" w:color="auto" w:sz="4" w:space="0"/>
              <w:left w:val="single" w:color="auto" w:sz="4" w:space="0"/>
              <w:bottom w:val="single" w:color="auto" w:sz="4" w:space="0"/>
              <w:right w:val="single" w:color="auto" w:sz="4" w:space="0"/>
            </w:tcBorders>
            <w:vAlign w:val="center"/>
          </w:tcPr>
          <w:p w14:paraId="757E2F35">
            <w:pPr>
              <w:keepNext w:val="0"/>
              <w:keepLines w:val="0"/>
              <w:pageBreakBefore w:val="0"/>
              <w:widowControl/>
              <w:kinsoku w:val="0"/>
              <w:wordWrap/>
              <w:overflowPunct/>
              <w:topLinePunct w:val="0"/>
              <w:autoSpaceDE w:val="0"/>
              <w:autoSpaceDN w:val="0"/>
              <w:bidi w:val="0"/>
              <w:adjustRightInd w:val="0"/>
              <w:snapToGrid w:val="0"/>
              <w:spacing w:after="0"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1</w:t>
            </w:r>
          </w:p>
        </w:tc>
        <w:tc>
          <w:tcPr>
            <w:tcW w:w="1133" w:type="dxa"/>
            <w:tcBorders>
              <w:top w:val="single" w:color="auto" w:sz="4" w:space="0"/>
              <w:left w:val="single" w:color="auto" w:sz="4" w:space="0"/>
              <w:bottom w:val="single" w:color="auto" w:sz="4" w:space="0"/>
              <w:right w:val="single" w:color="auto" w:sz="4" w:space="0"/>
            </w:tcBorders>
            <w:vAlign w:val="center"/>
          </w:tcPr>
          <w:p w14:paraId="04E5F10E">
            <w:pPr>
              <w:keepNext w:val="0"/>
              <w:keepLines w:val="0"/>
              <w:pageBreakBefore w:val="0"/>
              <w:widowControl/>
              <w:kinsoku w:val="0"/>
              <w:wordWrap/>
              <w:overflowPunct/>
              <w:topLinePunct w:val="0"/>
              <w:autoSpaceDE w:val="0"/>
              <w:autoSpaceDN w:val="0"/>
              <w:bidi w:val="0"/>
              <w:adjustRightInd w:val="0"/>
              <w:snapToGrid w:val="0"/>
              <w:spacing w:after="0" w:line="360" w:lineRule="auto"/>
              <w:jc w:val="both"/>
              <w:textAlignment w:val="baseline"/>
              <w:rPr>
                <w:rFonts w:hint="eastAsia" w:ascii="宋体" w:hAnsi="宋体" w:eastAsia="宋体" w:cs="宋体"/>
                <w:sz w:val="24"/>
                <w:szCs w:val="24"/>
              </w:rPr>
            </w:pPr>
            <w:r>
              <w:rPr>
                <w:rFonts w:hint="eastAsia" w:ascii="宋体" w:hAnsi="宋体" w:eastAsia="宋体" w:cs="宋体"/>
                <w:sz w:val="24"/>
                <w:szCs w:val="24"/>
              </w:rPr>
              <w:t>等保测评</w:t>
            </w:r>
          </w:p>
        </w:tc>
        <w:tc>
          <w:tcPr>
            <w:tcW w:w="7334" w:type="dxa"/>
            <w:tcBorders>
              <w:top w:val="single" w:color="auto" w:sz="4" w:space="0"/>
              <w:left w:val="single" w:color="auto" w:sz="4" w:space="0"/>
              <w:bottom w:val="single" w:color="auto" w:sz="4" w:space="0"/>
              <w:right w:val="single" w:color="auto" w:sz="4" w:space="0"/>
            </w:tcBorders>
            <w:vAlign w:val="center"/>
          </w:tcPr>
          <w:p w14:paraId="045D4FAD">
            <w:pPr>
              <w:pStyle w:val="24"/>
              <w:keepNext w:val="0"/>
              <w:keepLines w:val="0"/>
              <w:pageBreakBefore w:val="0"/>
              <w:widowControl/>
              <w:kinsoku w:val="0"/>
              <w:wordWrap/>
              <w:overflowPunct/>
              <w:topLinePunct w:val="0"/>
              <w:autoSpaceDE w:val="0"/>
              <w:autoSpaceDN w:val="0"/>
              <w:bidi w:val="0"/>
              <w:adjustRightInd w:val="0"/>
              <w:snapToGrid w:val="0"/>
              <w:spacing w:after="0" w:line="360" w:lineRule="auto"/>
              <w:ind w:firstLine="0" w:firstLineChars="0"/>
              <w:jc w:val="both"/>
              <w:textAlignment w:val="baseline"/>
              <w:rPr>
                <w:rFonts w:hint="eastAsia" w:ascii="宋体" w:hAnsi="宋体" w:eastAsia="宋体" w:cs="宋体"/>
                <w:sz w:val="24"/>
                <w:szCs w:val="24"/>
              </w:rPr>
            </w:pPr>
            <w:r>
              <w:rPr>
                <w:rFonts w:hint="eastAsia" w:ascii="宋体" w:hAnsi="宋体" w:eastAsia="宋体" w:cs="宋体"/>
                <w:sz w:val="24"/>
                <w:szCs w:val="24"/>
              </w:rPr>
              <w:t>1、按等保要求对我单位医院信息系统、集成平台</w:t>
            </w:r>
            <w:bookmarkStart w:id="1" w:name="OLE_LINK7"/>
            <w:r>
              <w:rPr>
                <w:rFonts w:hint="eastAsia" w:ascii="宋体" w:hAnsi="宋体" w:eastAsia="宋体" w:cs="宋体"/>
                <w:sz w:val="24"/>
                <w:szCs w:val="24"/>
              </w:rPr>
              <w:t>开展三级等保测评</w:t>
            </w:r>
            <w:bookmarkEnd w:id="1"/>
            <w:r>
              <w:rPr>
                <w:rFonts w:hint="eastAsia" w:ascii="宋体" w:hAnsi="宋体" w:eastAsia="宋体" w:cs="宋体"/>
                <w:sz w:val="24"/>
                <w:szCs w:val="24"/>
              </w:rPr>
              <w:t>工作。</w:t>
            </w:r>
          </w:p>
          <w:p w14:paraId="0AC64C0F">
            <w:pPr>
              <w:pStyle w:val="24"/>
              <w:keepNext w:val="0"/>
              <w:keepLines w:val="0"/>
              <w:pageBreakBefore w:val="0"/>
              <w:widowControl/>
              <w:kinsoku w:val="0"/>
              <w:wordWrap/>
              <w:overflowPunct/>
              <w:topLinePunct w:val="0"/>
              <w:autoSpaceDE w:val="0"/>
              <w:autoSpaceDN w:val="0"/>
              <w:bidi w:val="0"/>
              <w:adjustRightInd w:val="0"/>
              <w:snapToGrid w:val="0"/>
              <w:spacing w:after="0" w:line="360" w:lineRule="auto"/>
              <w:ind w:firstLine="0" w:firstLineChars="0"/>
              <w:jc w:val="both"/>
              <w:textAlignment w:val="baseline"/>
              <w:rPr>
                <w:rFonts w:hint="eastAsia" w:ascii="宋体" w:hAnsi="宋体" w:eastAsia="宋体" w:cs="宋体"/>
                <w:sz w:val="24"/>
                <w:szCs w:val="24"/>
              </w:rPr>
            </w:pPr>
            <w:r>
              <w:rPr>
                <w:rFonts w:hint="eastAsia" w:ascii="宋体" w:hAnsi="宋体" w:eastAsia="宋体" w:cs="宋体"/>
                <w:sz w:val="24"/>
                <w:szCs w:val="24"/>
              </w:rPr>
              <w:t>2、按等保要求对我单位PACS系统、OA系统、门户网站系统、</w:t>
            </w:r>
            <w:r>
              <w:rPr>
                <w:rFonts w:hint="eastAsia" w:ascii="宋体" w:hAnsi="宋体" w:eastAsia="宋体" w:cs="宋体"/>
                <w:sz w:val="24"/>
                <w:szCs w:val="24"/>
                <w:lang w:val="en-US" w:eastAsia="zh-CN"/>
              </w:rPr>
              <w:t>体检</w:t>
            </w:r>
            <w:r>
              <w:rPr>
                <w:rFonts w:hint="eastAsia" w:ascii="宋体" w:hAnsi="宋体" w:eastAsia="宋体" w:cs="宋体"/>
                <w:sz w:val="24"/>
                <w:szCs w:val="24"/>
              </w:rPr>
              <w:t>系统、微信平台开展二级等保测评工作。</w:t>
            </w:r>
          </w:p>
          <w:p w14:paraId="7460955E">
            <w:pPr>
              <w:pStyle w:val="24"/>
              <w:keepNext w:val="0"/>
              <w:keepLines w:val="0"/>
              <w:pageBreakBefore w:val="0"/>
              <w:widowControl/>
              <w:kinsoku w:val="0"/>
              <w:wordWrap/>
              <w:overflowPunct/>
              <w:topLinePunct w:val="0"/>
              <w:autoSpaceDE w:val="0"/>
              <w:autoSpaceDN w:val="0"/>
              <w:bidi w:val="0"/>
              <w:adjustRightInd w:val="0"/>
              <w:snapToGrid w:val="0"/>
              <w:spacing w:after="0" w:line="360" w:lineRule="auto"/>
              <w:ind w:firstLine="0" w:firstLineChars="0"/>
              <w:jc w:val="both"/>
              <w:textAlignment w:val="baseline"/>
              <w:rPr>
                <w:rFonts w:hint="eastAsia" w:ascii="宋体" w:hAnsi="宋体" w:eastAsia="宋体" w:cs="宋体"/>
                <w:spacing w:val="-4"/>
                <w:sz w:val="24"/>
                <w:szCs w:val="24"/>
              </w:rPr>
            </w:pPr>
            <w:r>
              <w:rPr>
                <w:rFonts w:hint="eastAsia" w:ascii="宋体" w:hAnsi="宋体" w:eastAsia="宋体" w:cs="宋体"/>
                <w:sz w:val="24"/>
                <w:szCs w:val="24"/>
              </w:rPr>
              <w:t>3、从安全物理环境、安全通信网络、安全区域边界、安全计算环境、安全管理中心、安全管理制度、安全管理机构、安全管理人员、安全建设管理、安全运维管理十个方面，对被测评对象进行综合测评。</w:t>
            </w:r>
          </w:p>
        </w:tc>
      </w:tr>
      <w:tr w14:paraId="737B1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753" w:type="dxa"/>
            <w:tcBorders>
              <w:top w:val="single" w:color="auto" w:sz="4" w:space="0"/>
              <w:left w:val="single" w:color="auto" w:sz="4" w:space="0"/>
              <w:bottom w:val="single" w:color="auto" w:sz="4" w:space="0"/>
              <w:right w:val="single" w:color="auto" w:sz="4" w:space="0"/>
            </w:tcBorders>
            <w:vAlign w:val="center"/>
          </w:tcPr>
          <w:p w14:paraId="4EA4508D">
            <w:pPr>
              <w:pStyle w:val="24"/>
              <w:keepNext w:val="0"/>
              <w:keepLines w:val="0"/>
              <w:pageBreakBefore w:val="0"/>
              <w:widowControl/>
              <w:kinsoku w:val="0"/>
              <w:wordWrap/>
              <w:overflowPunct/>
              <w:topLinePunct w:val="0"/>
              <w:autoSpaceDE w:val="0"/>
              <w:autoSpaceDN w:val="0"/>
              <w:bidi w:val="0"/>
              <w:adjustRightInd w:val="0"/>
              <w:snapToGrid w:val="0"/>
              <w:spacing w:after="0" w:line="360" w:lineRule="auto"/>
              <w:ind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rPr>
              <w:t>2</w:t>
            </w:r>
          </w:p>
        </w:tc>
        <w:tc>
          <w:tcPr>
            <w:tcW w:w="1133" w:type="dxa"/>
            <w:tcBorders>
              <w:top w:val="single" w:color="auto" w:sz="4" w:space="0"/>
              <w:left w:val="single" w:color="auto" w:sz="4" w:space="0"/>
              <w:bottom w:val="single" w:color="auto" w:sz="4" w:space="0"/>
              <w:right w:val="single" w:color="auto" w:sz="4" w:space="0"/>
            </w:tcBorders>
            <w:vAlign w:val="center"/>
          </w:tcPr>
          <w:p w14:paraId="10B31FAC">
            <w:pPr>
              <w:keepNext w:val="0"/>
              <w:keepLines w:val="0"/>
              <w:pageBreakBefore w:val="0"/>
              <w:widowControl/>
              <w:kinsoku w:val="0"/>
              <w:wordWrap/>
              <w:overflowPunct/>
              <w:topLinePunct w:val="0"/>
              <w:autoSpaceDE w:val="0"/>
              <w:autoSpaceDN w:val="0"/>
              <w:bidi w:val="0"/>
              <w:adjustRightInd w:val="0"/>
              <w:snapToGrid w:val="0"/>
              <w:spacing w:after="0" w:line="360" w:lineRule="auto"/>
              <w:jc w:val="both"/>
              <w:textAlignment w:val="baseline"/>
              <w:rPr>
                <w:rFonts w:hint="eastAsia" w:ascii="宋体" w:hAnsi="宋体" w:eastAsia="宋体" w:cs="宋体"/>
                <w:sz w:val="24"/>
                <w:szCs w:val="24"/>
              </w:rPr>
            </w:pPr>
            <w:r>
              <w:rPr>
                <w:rFonts w:hint="eastAsia" w:ascii="宋体" w:hAnsi="宋体" w:eastAsia="宋体" w:cs="宋体"/>
                <w:sz w:val="24"/>
                <w:szCs w:val="24"/>
              </w:rPr>
              <w:t>测评内容</w:t>
            </w:r>
          </w:p>
        </w:tc>
        <w:tc>
          <w:tcPr>
            <w:tcW w:w="7334" w:type="dxa"/>
            <w:tcBorders>
              <w:top w:val="single" w:color="auto" w:sz="4" w:space="0"/>
              <w:left w:val="single" w:color="auto" w:sz="4" w:space="0"/>
              <w:bottom w:val="single" w:color="auto" w:sz="4" w:space="0"/>
              <w:right w:val="single" w:color="auto" w:sz="4" w:space="0"/>
            </w:tcBorders>
            <w:vAlign w:val="center"/>
          </w:tcPr>
          <w:p w14:paraId="42D2B2EB">
            <w:pPr>
              <w:pStyle w:val="24"/>
              <w:keepNext w:val="0"/>
              <w:keepLines w:val="0"/>
              <w:pageBreakBefore w:val="0"/>
              <w:widowControl/>
              <w:kinsoku w:val="0"/>
              <w:wordWrap/>
              <w:overflowPunct/>
              <w:topLinePunct w:val="0"/>
              <w:autoSpaceDE w:val="0"/>
              <w:autoSpaceDN w:val="0"/>
              <w:bidi w:val="0"/>
              <w:adjustRightInd w:val="0"/>
              <w:snapToGrid w:val="0"/>
              <w:spacing w:after="0" w:line="360" w:lineRule="auto"/>
              <w:ind w:firstLine="0" w:firstLineChars="0"/>
              <w:jc w:val="both"/>
              <w:textAlignment w:val="baseline"/>
              <w:rPr>
                <w:rFonts w:hint="eastAsia" w:ascii="宋体" w:hAnsi="宋体" w:eastAsia="宋体" w:cs="宋体"/>
                <w:sz w:val="24"/>
                <w:szCs w:val="24"/>
              </w:rPr>
            </w:pPr>
            <w:r>
              <w:rPr>
                <w:rFonts w:hint="eastAsia" w:ascii="宋体" w:hAnsi="宋体" w:eastAsia="宋体" w:cs="宋体"/>
                <w:sz w:val="24"/>
                <w:szCs w:val="24"/>
              </w:rPr>
              <w:t>1、安全控制测评，主要测评网络安全等级保护要求的基本安全控制在信息系统中的实施配置情况；</w:t>
            </w:r>
          </w:p>
          <w:p w14:paraId="2826CC5F">
            <w:pPr>
              <w:pStyle w:val="24"/>
              <w:keepNext w:val="0"/>
              <w:keepLines w:val="0"/>
              <w:pageBreakBefore w:val="0"/>
              <w:widowControl/>
              <w:kinsoku w:val="0"/>
              <w:wordWrap/>
              <w:overflowPunct/>
              <w:topLinePunct w:val="0"/>
              <w:autoSpaceDE w:val="0"/>
              <w:autoSpaceDN w:val="0"/>
              <w:bidi w:val="0"/>
              <w:adjustRightInd w:val="0"/>
              <w:snapToGrid w:val="0"/>
              <w:spacing w:after="0" w:line="360" w:lineRule="auto"/>
              <w:ind w:firstLine="0" w:firstLineChars="0"/>
              <w:jc w:val="both"/>
              <w:textAlignment w:val="baseline"/>
              <w:rPr>
                <w:rFonts w:hint="eastAsia" w:ascii="宋体" w:hAnsi="宋体" w:eastAsia="宋体" w:cs="宋体"/>
                <w:sz w:val="24"/>
                <w:szCs w:val="24"/>
              </w:rPr>
            </w:pPr>
            <w:r>
              <w:rPr>
                <w:rFonts w:hint="eastAsia" w:ascii="宋体" w:hAnsi="宋体" w:eastAsia="宋体" w:cs="宋体"/>
                <w:sz w:val="24"/>
                <w:szCs w:val="24"/>
              </w:rPr>
              <w:t>2、系统整体测评，主要测评分析信息系统的整体安全性。其中，安全控制测评是信息系统整体安全测评的基础。</w:t>
            </w:r>
          </w:p>
        </w:tc>
      </w:tr>
      <w:tr w14:paraId="3CA91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753" w:type="dxa"/>
            <w:tcBorders>
              <w:top w:val="single" w:color="auto" w:sz="4" w:space="0"/>
              <w:left w:val="single" w:color="auto" w:sz="4" w:space="0"/>
              <w:bottom w:val="single" w:color="auto" w:sz="4" w:space="0"/>
              <w:right w:val="single" w:color="auto" w:sz="4" w:space="0"/>
            </w:tcBorders>
            <w:vAlign w:val="center"/>
          </w:tcPr>
          <w:p w14:paraId="54BB213C">
            <w:pPr>
              <w:keepNext w:val="0"/>
              <w:keepLines w:val="0"/>
              <w:pageBreakBefore w:val="0"/>
              <w:widowControl/>
              <w:kinsoku w:val="0"/>
              <w:wordWrap/>
              <w:overflowPunct/>
              <w:topLinePunct w:val="0"/>
              <w:autoSpaceDE w:val="0"/>
              <w:autoSpaceDN w:val="0"/>
              <w:bidi w:val="0"/>
              <w:adjustRightInd w:val="0"/>
              <w:snapToGrid w:val="0"/>
              <w:spacing w:after="0" w:line="36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3</w:t>
            </w:r>
          </w:p>
        </w:tc>
        <w:tc>
          <w:tcPr>
            <w:tcW w:w="1133" w:type="dxa"/>
            <w:tcBorders>
              <w:top w:val="single" w:color="auto" w:sz="4" w:space="0"/>
              <w:left w:val="single" w:color="auto" w:sz="4" w:space="0"/>
              <w:bottom w:val="single" w:color="auto" w:sz="4" w:space="0"/>
              <w:right w:val="single" w:color="auto" w:sz="4" w:space="0"/>
            </w:tcBorders>
            <w:vAlign w:val="center"/>
          </w:tcPr>
          <w:p w14:paraId="29F6D23D">
            <w:pPr>
              <w:keepNext w:val="0"/>
              <w:keepLines w:val="0"/>
              <w:pageBreakBefore w:val="0"/>
              <w:widowControl/>
              <w:kinsoku w:val="0"/>
              <w:wordWrap/>
              <w:overflowPunct/>
              <w:topLinePunct w:val="0"/>
              <w:autoSpaceDE w:val="0"/>
              <w:autoSpaceDN w:val="0"/>
              <w:bidi w:val="0"/>
              <w:adjustRightInd w:val="0"/>
              <w:snapToGrid w:val="0"/>
              <w:spacing w:after="0" w:line="360" w:lineRule="auto"/>
              <w:jc w:val="both"/>
              <w:textAlignment w:val="baseline"/>
              <w:rPr>
                <w:rFonts w:hint="eastAsia" w:ascii="宋体" w:hAnsi="宋体" w:eastAsia="宋体" w:cs="宋体"/>
                <w:sz w:val="24"/>
                <w:szCs w:val="24"/>
              </w:rPr>
            </w:pPr>
            <w:r>
              <w:rPr>
                <w:rFonts w:hint="eastAsia" w:ascii="宋体" w:hAnsi="宋体" w:eastAsia="宋体" w:cs="宋体"/>
                <w:sz w:val="24"/>
                <w:szCs w:val="24"/>
              </w:rPr>
              <w:t>测评对象种类</w:t>
            </w:r>
          </w:p>
        </w:tc>
        <w:tc>
          <w:tcPr>
            <w:tcW w:w="7334" w:type="dxa"/>
            <w:tcBorders>
              <w:top w:val="single" w:color="auto" w:sz="4" w:space="0"/>
              <w:left w:val="single" w:color="auto" w:sz="4" w:space="0"/>
              <w:bottom w:val="single" w:color="auto" w:sz="4" w:space="0"/>
              <w:right w:val="single" w:color="auto" w:sz="4" w:space="0"/>
            </w:tcBorders>
            <w:vAlign w:val="center"/>
          </w:tcPr>
          <w:p w14:paraId="7CEC4706">
            <w:pPr>
              <w:pStyle w:val="24"/>
              <w:keepNext w:val="0"/>
              <w:keepLines w:val="0"/>
              <w:pageBreakBefore w:val="0"/>
              <w:widowControl/>
              <w:kinsoku w:val="0"/>
              <w:wordWrap/>
              <w:overflowPunct/>
              <w:topLinePunct w:val="0"/>
              <w:autoSpaceDE w:val="0"/>
              <w:autoSpaceDN w:val="0"/>
              <w:bidi w:val="0"/>
              <w:adjustRightInd w:val="0"/>
              <w:snapToGrid w:val="0"/>
              <w:spacing w:after="0" w:line="360" w:lineRule="auto"/>
              <w:ind w:firstLine="0" w:firstLineChars="0"/>
              <w:jc w:val="both"/>
              <w:textAlignment w:val="baseline"/>
              <w:rPr>
                <w:rFonts w:hint="eastAsia" w:ascii="宋体" w:hAnsi="宋体" w:eastAsia="宋体" w:cs="宋体"/>
                <w:sz w:val="24"/>
                <w:szCs w:val="24"/>
              </w:rPr>
            </w:pPr>
            <w:r>
              <w:rPr>
                <w:rFonts w:hint="eastAsia" w:ascii="宋体" w:hAnsi="宋体" w:eastAsia="宋体" w:cs="宋体"/>
                <w:sz w:val="24"/>
                <w:szCs w:val="24"/>
              </w:rPr>
              <w:t>依照网络安全等级保护具体要求、参考业界权威的安全风险评估标准与模型，全方面对【贵州医科大学第三附属医院】本次测评的信息系统进行全面评估。</w:t>
            </w:r>
          </w:p>
          <w:p w14:paraId="0F6D9B5B">
            <w:pPr>
              <w:keepNext w:val="0"/>
              <w:keepLines w:val="0"/>
              <w:pageBreakBefore w:val="0"/>
              <w:widowControl/>
              <w:kinsoku w:val="0"/>
              <w:wordWrap/>
              <w:overflowPunct/>
              <w:topLinePunct w:val="0"/>
              <w:autoSpaceDE w:val="0"/>
              <w:autoSpaceDN w:val="0"/>
              <w:bidi w:val="0"/>
              <w:adjustRightInd w:val="0"/>
              <w:snapToGrid w:val="0"/>
              <w:spacing w:after="0" w:line="360" w:lineRule="auto"/>
              <w:jc w:val="both"/>
              <w:textAlignment w:val="baseline"/>
              <w:rPr>
                <w:rFonts w:hint="eastAsia" w:ascii="宋体" w:hAnsi="宋体" w:eastAsia="宋体" w:cs="宋体"/>
                <w:sz w:val="24"/>
                <w:szCs w:val="24"/>
              </w:rPr>
            </w:pPr>
            <w:r>
              <w:rPr>
                <w:rFonts w:hint="eastAsia" w:ascii="宋体" w:hAnsi="宋体" w:eastAsia="宋体" w:cs="宋体"/>
                <w:sz w:val="24"/>
                <w:szCs w:val="24"/>
              </w:rPr>
              <w:t>测评对象种类主要包括以下几个方面：</w:t>
            </w:r>
          </w:p>
          <w:p w14:paraId="7AEDB45E">
            <w:pPr>
              <w:pStyle w:val="24"/>
              <w:keepNext w:val="0"/>
              <w:keepLines w:val="0"/>
              <w:pageBreakBefore w:val="0"/>
              <w:widowControl/>
              <w:kinsoku w:val="0"/>
              <w:wordWrap/>
              <w:overflowPunct/>
              <w:topLinePunct w:val="0"/>
              <w:autoSpaceDE w:val="0"/>
              <w:autoSpaceDN w:val="0"/>
              <w:bidi w:val="0"/>
              <w:adjustRightInd w:val="0"/>
              <w:snapToGrid w:val="0"/>
              <w:spacing w:after="0" w:line="360" w:lineRule="auto"/>
              <w:ind w:firstLine="0" w:firstLineChars="0"/>
              <w:jc w:val="both"/>
              <w:textAlignment w:val="baseline"/>
              <w:rPr>
                <w:rFonts w:hint="eastAsia" w:ascii="宋体" w:hAnsi="宋体" w:eastAsia="宋体" w:cs="宋体"/>
                <w:sz w:val="24"/>
                <w:szCs w:val="24"/>
              </w:rPr>
            </w:pPr>
            <w:r>
              <w:rPr>
                <w:rFonts w:hint="eastAsia" w:ascii="宋体" w:hAnsi="宋体" w:eastAsia="宋体" w:cs="宋体"/>
                <w:sz w:val="24"/>
                <w:szCs w:val="24"/>
              </w:rPr>
              <w:t>1、整体网络拓扑结构；</w:t>
            </w:r>
          </w:p>
          <w:p w14:paraId="0C2D70D7">
            <w:pPr>
              <w:pStyle w:val="24"/>
              <w:keepNext w:val="0"/>
              <w:keepLines w:val="0"/>
              <w:pageBreakBefore w:val="0"/>
              <w:widowControl/>
              <w:kinsoku w:val="0"/>
              <w:wordWrap/>
              <w:overflowPunct/>
              <w:topLinePunct w:val="0"/>
              <w:autoSpaceDE w:val="0"/>
              <w:autoSpaceDN w:val="0"/>
              <w:bidi w:val="0"/>
              <w:adjustRightInd w:val="0"/>
              <w:snapToGrid w:val="0"/>
              <w:spacing w:after="0" w:line="360" w:lineRule="auto"/>
              <w:ind w:firstLine="0" w:firstLineChars="0"/>
              <w:jc w:val="both"/>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2、网络设备：包括路由器、核心交换机、汇聚层交换机等</w:t>
            </w:r>
            <w:r>
              <w:rPr>
                <w:rFonts w:hint="eastAsia" w:ascii="宋体" w:hAnsi="宋体" w:eastAsia="宋体" w:cs="宋体"/>
                <w:sz w:val="24"/>
                <w:szCs w:val="24"/>
                <w:lang w:eastAsia="zh-CN"/>
              </w:rPr>
              <w:t>；</w:t>
            </w:r>
          </w:p>
          <w:p w14:paraId="464E90CB">
            <w:pPr>
              <w:pStyle w:val="24"/>
              <w:keepNext w:val="0"/>
              <w:keepLines w:val="0"/>
              <w:pageBreakBefore w:val="0"/>
              <w:widowControl/>
              <w:kinsoku w:val="0"/>
              <w:wordWrap/>
              <w:overflowPunct/>
              <w:topLinePunct w:val="0"/>
              <w:autoSpaceDE w:val="0"/>
              <w:autoSpaceDN w:val="0"/>
              <w:bidi w:val="0"/>
              <w:adjustRightInd w:val="0"/>
              <w:snapToGrid w:val="0"/>
              <w:spacing w:after="0" w:line="360" w:lineRule="auto"/>
              <w:ind w:firstLine="0" w:firstLineChars="0"/>
              <w:jc w:val="both"/>
              <w:textAlignment w:val="baseline"/>
              <w:rPr>
                <w:rFonts w:hint="eastAsia" w:ascii="宋体" w:hAnsi="宋体" w:eastAsia="宋体" w:cs="宋体"/>
                <w:sz w:val="24"/>
                <w:szCs w:val="24"/>
              </w:rPr>
            </w:pPr>
            <w:r>
              <w:rPr>
                <w:rFonts w:hint="eastAsia" w:ascii="宋体" w:hAnsi="宋体" w:eastAsia="宋体" w:cs="宋体"/>
                <w:sz w:val="24"/>
                <w:szCs w:val="24"/>
              </w:rPr>
              <w:t>3、安全设备：包括防火墙、IDS/IPS、入侵防御系统等；</w:t>
            </w:r>
          </w:p>
          <w:p w14:paraId="4F15876C">
            <w:pPr>
              <w:pStyle w:val="24"/>
              <w:keepNext w:val="0"/>
              <w:keepLines w:val="0"/>
              <w:pageBreakBefore w:val="0"/>
              <w:widowControl/>
              <w:kinsoku w:val="0"/>
              <w:wordWrap/>
              <w:overflowPunct/>
              <w:topLinePunct w:val="0"/>
              <w:autoSpaceDE w:val="0"/>
              <w:autoSpaceDN w:val="0"/>
              <w:bidi w:val="0"/>
              <w:adjustRightInd w:val="0"/>
              <w:snapToGrid w:val="0"/>
              <w:spacing w:after="0" w:line="360" w:lineRule="auto"/>
              <w:ind w:firstLine="0" w:firstLineChars="0"/>
              <w:jc w:val="both"/>
              <w:textAlignment w:val="baseline"/>
              <w:rPr>
                <w:rFonts w:hint="eastAsia" w:ascii="宋体" w:hAnsi="宋体" w:eastAsia="宋体" w:cs="宋体"/>
                <w:sz w:val="24"/>
                <w:szCs w:val="24"/>
              </w:rPr>
            </w:pPr>
            <w:r>
              <w:rPr>
                <w:rFonts w:hint="eastAsia" w:ascii="宋体" w:hAnsi="宋体" w:eastAsia="宋体" w:cs="宋体"/>
                <w:sz w:val="24"/>
                <w:szCs w:val="24"/>
              </w:rPr>
              <w:t>4、数据库、中间件、终端设施、服务器等；</w:t>
            </w:r>
          </w:p>
          <w:p w14:paraId="07F9259C">
            <w:pPr>
              <w:pStyle w:val="24"/>
              <w:keepNext w:val="0"/>
              <w:keepLines w:val="0"/>
              <w:pageBreakBefore w:val="0"/>
              <w:widowControl/>
              <w:kinsoku w:val="0"/>
              <w:wordWrap/>
              <w:overflowPunct/>
              <w:topLinePunct w:val="0"/>
              <w:autoSpaceDE w:val="0"/>
              <w:autoSpaceDN w:val="0"/>
              <w:bidi w:val="0"/>
              <w:adjustRightInd w:val="0"/>
              <w:snapToGrid w:val="0"/>
              <w:spacing w:after="0" w:line="360" w:lineRule="auto"/>
              <w:ind w:firstLine="0" w:firstLineChars="0"/>
              <w:jc w:val="both"/>
              <w:textAlignment w:val="baseline"/>
              <w:rPr>
                <w:rFonts w:hint="eastAsia" w:ascii="宋体" w:hAnsi="宋体" w:eastAsia="宋体" w:cs="宋体"/>
                <w:sz w:val="24"/>
                <w:szCs w:val="24"/>
              </w:rPr>
            </w:pPr>
            <w:r>
              <w:rPr>
                <w:rFonts w:hint="eastAsia" w:ascii="宋体" w:hAnsi="宋体" w:eastAsia="宋体" w:cs="宋体"/>
                <w:sz w:val="24"/>
                <w:szCs w:val="24"/>
              </w:rPr>
              <w:t>5、业务应用软件、系统管理软件；</w:t>
            </w:r>
          </w:p>
          <w:p w14:paraId="7C24904F">
            <w:pPr>
              <w:pStyle w:val="24"/>
              <w:keepNext w:val="0"/>
              <w:keepLines w:val="0"/>
              <w:pageBreakBefore w:val="0"/>
              <w:widowControl/>
              <w:kinsoku w:val="0"/>
              <w:wordWrap/>
              <w:overflowPunct/>
              <w:topLinePunct w:val="0"/>
              <w:autoSpaceDE w:val="0"/>
              <w:autoSpaceDN w:val="0"/>
              <w:bidi w:val="0"/>
              <w:adjustRightInd w:val="0"/>
              <w:snapToGrid w:val="0"/>
              <w:spacing w:after="0" w:line="360" w:lineRule="auto"/>
              <w:ind w:firstLine="0" w:firstLineChars="0"/>
              <w:jc w:val="both"/>
              <w:textAlignment w:val="baseline"/>
              <w:rPr>
                <w:rFonts w:hint="eastAsia" w:ascii="宋体" w:hAnsi="宋体" w:eastAsia="宋体" w:cs="宋体"/>
                <w:sz w:val="24"/>
                <w:szCs w:val="24"/>
              </w:rPr>
            </w:pPr>
            <w:r>
              <w:rPr>
                <w:rFonts w:hint="eastAsia" w:ascii="宋体" w:hAnsi="宋体" w:eastAsia="宋体" w:cs="宋体"/>
                <w:sz w:val="24"/>
                <w:szCs w:val="24"/>
              </w:rPr>
              <w:t>6、重要管理终端（针对三级及以上系统）</w:t>
            </w:r>
          </w:p>
          <w:p w14:paraId="21C12136">
            <w:pPr>
              <w:pStyle w:val="24"/>
              <w:keepNext w:val="0"/>
              <w:keepLines w:val="0"/>
              <w:pageBreakBefore w:val="0"/>
              <w:widowControl/>
              <w:kinsoku w:val="0"/>
              <w:wordWrap/>
              <w:overflowPunct/>
              <w:topLinePunct w:val="0"/>
              <w:autoSpaceDE w:val="0"/>
              <w:autoSpaceDN w:val="0"/>
              <w:bidi w:val="0"/>
              <w:adjustRightInd w:val="0"/>
              <w:snapToGrid w:val="0"/>
              <w:spacing w:after="0" w:line="360" w:lineRule="auto"/>
              <w:ind w:firstLine="0" w:firstLineChars="0"/>
              <w:jc w:val="both"/>
              <w:textAlignment w:val="baseline"/>
              <w:rPr>
                <w:rFonts w:hint="eastAsia" w:ascii="宋体" w:hAnsi="宋体" w:eastAsia="宋体" w:cs="宋体"/>
                <w:sz w:val="24"/>
                <w:szCs w:val="24"/>
              </w:rPr>
            </w:pPr>
            <w:r>
              <w:rPr>
                <w:rFonts w:hint="eastAsia" w:ascii="宋体" w:hAnsi="宋体" w:eastAsia="宋体" w:cs="宋体"/>
                <w:sz w:val="24"/>
                <w:szCs w:val="24"/>
              </w:rPr>
              <w:t>7、系统管理员、审计管理员、业务管理员和安全管理员；</w:t>
            </w:r>
          </w:p>
          <w:p w14:paraId="0923C77F">
            <w:pPr>
              <w:pStyle w:val="24"/>
              <w:keepNext w:val="0"/>
              <w:keepLines w:val="0"/>
              <w:pageBreakBefore w:val="0"/>
              <w:widowControl/>
              <w:kinsoku w:val="0"/>
              <w:wordWrap/>
              <w:overflowPunct/>
              <w:topLinePunct w:val="0"/>
              <w:autoSpaceDE w:val="0"/>
              <w:autoSpaceDN w:val="0"/>
              <w:bidi w:val="0"/>
              <w:adjustRightInd w:val="0"/>
              <w:snapToGrid w:val="0"/>
              <w:spacing w:after="0" w:line="360" w:lineRule="auto"/>
              <w:ind w:firstLine="0" w:firstLineChars="0"/>
              <w:jc w:val="both"/>
              <w:textAlignment w:val="baseline"/>
              <w:rPr>
                <w:rFonts w:hint="eastAsia" w:ascii="宋体" w:hAnsi="宋体" w:eastAsia="宋体" w:cs="宋体"/>
                <w:sz w:val="24"/>
                <w:szCs w:val="24"/>
              </w:rPr>
            </w:pPr>
            <w:r>
              <w:rPr>
                <w:rFonts w:hint="eastAsia" w:ascii="宋体" w:hAnsi="宋体" w:eastAsia="宋体" w:cs="宋体"/>
                <w:sz w:val="24"/>
                <w:szCs w:val="24"/>
              </w:rPr>
              <w:t>8、涉及到系统安全的所有管理制度和记录。</w:t>
            </w:r>
          </w:p>
        </w:tc>
      </w:tr>
      <w:tr w14:paraId="30219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753" w:type="dxa"/>
            <w:tcBorders>
              <w:top w:val="single" w:color="auto" w:sz="4" w:space="0"/>
              <w:left w:val="single" w:color="auto" w:sz="4" w:space="0"/>
              <w:bottom w:val="single" w:color="auto" w:sz="4" w:space="0"/>
              <w:right w:val="single" w:color="auto" w:sz="4" w:space="0"/>
            </w:tcBorders>
            <w:vAlign w:val="center"/>
          </w:tcPr>
          <w:p w14:paraId="3D5B1098">
            <w:pPr>
              <w:keepNext w:val="0"/>
              <w:keepLines w:val="0"/>
              <w:pageBreakBefore w:val="0"/>
              <w:widowControl/>
              <w:kinsoku w:val="0"/>
              <w:wordWrap/>
              <w:overflowPunct/>
              <w:topLinePunct w:val="0"/>
              <w:autoSpaceDE w:val="0"/>
              <w:autoSpaceDN w:val="0"/>
              <w:bidi w:val="0"/>
              <w:adjustRightInd w:val="0"/>
              <w:snapToGrid w:val="0"/>
              <w:spacing w:after="0" w:line="360" w:lineRule="auto"/>
              <w:jc w:val="both"/>
              <w:textAlignment w:val="baseline"/>
              <w:rPr>
                <w:rFonts w:hint="eastAsia" w:ascii="宋体" w:hAnsi="宋体" w:eastAsia="宋体" w:cs="宋体"/>
                <w:sz w:val="24"/>
                <w:szCs w:val="24"/>
              </w:rPr>
            </w:pPr>
            <w:r>
              <w:rPr>
                <w:rFonts w:hint="eastAsia" w:ascii="宋体" w:hAnsi="宋体" w:eastAsia="宋体" w:cs="宋体"/>
                <w:sz w:val="24"/>
                <w:szCs w:val="24"/>
              </w:rPr>
              <w:t>4</w:t>
            </w:r>
          </w:p>
        </w:tc>
        <w:tc>
          <w:tcPr>
            <w:tcW w:w="1133" w:type="dxa"/>
            <w:tcBorders>
              <w:top w:val="single" w:color="auto" w:sz="4" w:space="0"/>
              <w:left w:val="single" w:color="auto" w:sz="4" w:space="0"/>
              <w:bottom w:val="single" w:color="auto" w:sz="4" w:space="0"/>
              <w:right w:val="single" w:color="auto" w:sz="4" w:space="0"/>
            </w:tcBorders>
            <w:vAlign w:val="center"/>
          </w:tcPr>
          <w:p w14:paraId="69986272">
            <w:pPr>
              <w:keepNext w:val="0"/>
              <w:keepLines w:val="0"/>
              <w:pageBreakBefore w:val="0"/>
              <w:widowControl/>
              <w:kinsoku w:val="0"/>
              <w:wordWrap/>
              <w:overflowPunct/>
              <w:topLinePunct w:val="0"/>
              <w:autoSpaceDE w:val="0"/>
              <w:autoSpaceDN w:val="0"/>
              <w:bidi w:val="0"/>
              <w:adjustRightInd w:val="0"/>
              <w:snapToGrid w:val="0"/>
              <w:spacing w:after="0" w:line="360" w:lineRule="auto"/>
              <w:jc w:val="both"/>
              <w:textAlignment w:val="baseline"/>
              <w:rPr>
                <w:rFonts w:hint="eastAsia" w:ascii="宋体" w:hAnsi="宋体" w:eastAsia="宋体" w:cs="宋体"/>
                <w:sz w:val="24"/>
                <w:szCs w:val="24"/>
              </w:rPr>
            </w:pPr>
            <w:r>
              <w:rPr>
                <w:rFonts w:hint="eastAsia" w:ascii="宋体" w:hAnsi="宋体" w:eastAsia="宋体" w:cs="宋体"/>
                <w:sz w:val="24"/>
                <w:szCs w:val="24"/>
              </w:rPr>
              <w:t>交付材料</w:t>
            </w:r>
          </w:p>
        </w:tc>
        <w:tc>
          <w:tcPr>
            <w:tcW w:w="7334" w:type="dxa"/>
            <w:tcBorders>
              <w:top w:val="single" w:color="auto" w:sz="4" w:space="0"/>
              <w:left w:val="single" w:color="auto" w:sz="4" w:space="0"/>
              <w:bottom w:val="single" w:color="auto" w:sz="4" w:space="0"/>
              <w:right w:val="single" w:color="auto" w:sz="4" w:space="0"/>
            </w:tcBorders>
            <w:vAlign w:val="center"/>
          </w:tcPr>
          <w:p w14:paraId="5EB7115A">
            <w:pPr>
              <w:pStyle w:val="24"/>
              <w:keepNext w:val="0"/>
              <w:keepLines w:val="0"/>
              <w:pageBreakBefore w:val="0"/>
              <w:widowControl/>
              <w:kinsoku w:val="0"/>
              <w:wordWrap/>
              <w:overflowPunct/>
              <w:topLinePunct w:val="0"/>
              <w:autoSpaceDE w:val="0"/>
              <w:autoSpaceDN w:val="0"/>
              <w:bidi w:val="0"/>
              <w:adjustRightInd w:val="0"/>
              <w:snapToGrid w:val="0"/>
              <w:spacing w:after="0" w:line="360" w:lineRule="auto"/>
              <w:ind w:firstLine="0" w:firstLineChars="0"/>
              <w:jc w:val="both"/>
              <w:textAlignment w:val="baseline"/>
              <w:rPr>
                <w:rFonts w:hint="eastAsia" w:ascii="宋体" w:hAnsi="宋体" w:eastAsia="宋体" w:cs="宋体"/>
                <w:sz w:val="24"/>
                <w:szCs w:val="24"/>
              </w:rPr>
            </w:pPr>
            <w:r>
              <w:rPr>
                <w:rFonts w:hint="eastAsia" w:ascii="宋体" w:hAnsi="宋体" w:eastAsia="宋体" w:cs="宋体"/>
                <w:sz w:val="24"/>
                <w:szCs w:val="24"/>
              </w:rPr>
              <w:t>《网络安全等级保护测评报告》《网络安全风险评估报告》（仅限于三级系统）其他项目材料</w:t>
            </w:r>
          </w:p>
        </w:tc>
      </w:tr>
      <w:bookmarkEnd w:id="0"/>
    </w:tbl>
    <w:p w14:paraId="1C74757B">
      <w:pPr>
        <w:spacing w:after="0" w:line="360" w:lineRule="auto"/>
        <w:ind w:firstLine="480" w:firstLineChars="200"/>
        <w:jc w:val="both"/>
        <w:rPr>
          <w:rFonts w:hint="eastAsia" w:ascii="宋体" w:hAnsi="宋体" w:eastAsia="宋体" w:cs="宋体"/>
          <w:sz w:val="24"/>
          <w:szCs w:val="24"/>
          <w:lang w:val="en-US" w:eastAsia="zh-CN" w:bidi="en-US"/>
        </w:rPr>
      </w:pPr>
      <w:bookmarkStart w:id="2" w:name="OLE_LINK10"/>
    </w:p>
    <w:p w14:paraId="7BD18BE4">
      <w:pPr>
        <w:spacing w:after="0" w:line="360" w:lineRule="auto"/>
        <w:ind w:firstLine="480" w:firstLineChars="200"/>
        <w:jc w:val="both"/>
        <w:rPr>
          <w:rFonts w:hint="eastAsia" w:ascii="宋体" w:hAnsi="宋体" w:eastAsia="宋体" w:cs="宋体"/>
          <w:sz w:val="24"/>
          <w:szCs w:val="24"/>
          <w:lang w:val="en-US" w:eastAsia="zh-CN" w:bidi="en-US"/>
        </w:rPr>
      </w:pPr>
    </w:p>
    <w:p w14:paraId="730AB935">
      <w:pPr>
        <w:spacing w:after="0" w:line="360" w:lineRule="auto"/>
        <w:ind w:firstLine="480" w:firstLineChars="200"/>
        <w:jc w:val="both"/>
        <w:rPr>
          <w:rFonts w:hint="eastAsia" w:ascii="宋体" w:hAnsi="宋体" w:eastAsia="宋体" w:cs="宋体"/>
          <w:sz w:val="24"/>
          <w:szCs w:val="24"/>
          <w:lang w:bidi="en-US"/>
        </w:rPr>
      </w:pPr>
      <w:r>
        <w:rPr>
          <w:rFonts w:hint="eastAsia" w:ascii="宋体" w:hAnsi="宋体" w:eastAsia="宋体" w:cs="宋体"/>
          <w:sz w:val="24"/>
          <w:szCs w:val="24"/>
          <w:lang w:val="en-US" w:eastAsia="zh-CN" w:bidi="en-US"/>
        </w:rPr>
        <w:t>3</w:t>
      </w:r>
      <w:r>
        <w:rPr>
          <w:rFonts w:hint="eastAsia" w:ascii="宋体" w:hAnsi="宋体" w:eastAsia="宋体" w:cs="宋体"/>
          <w:sz w:val="24"/>
          <w:szCs w:val="24"/>
          <w:lang w:bidi="en-US"/>
        </w:rPr>
        <w:t>、计价规则、单价及结算方式</w:t>
      </w:r>
    </w:p>
    <w:p w14:paraId="1CCFD32C">
      <w:pPr>
        <w:spacing w:after="0" w:line="360" w:lineRule="auto"/>
        <w:ind w:firstLine="480" w:firstLineChars="200"/>
        <w:jc w:val="both"/>
        <w:rPr>
          <w:rFonts w:hint="eastAsia" w:ascii="宋体" w:hAnsi="宋体" w:eastAsia="宋体" w:cs="宋体"/>
          <w:sz w:val="24"/>
          <w:szCs w:val="24"/>
          <w:lang w:bidi="en-US"/>
        </w:rPr>
      </w:pPr>
      <w:r>
        <w:rPr>
          <w:rFonts w:hint="eastAsia" w:ascii="宋体" w:hAnsi="宋体" w:eastAsia="宋体" w:cs="宋体"/>
          <w:sz w:val="24"/>
          <w:szCs w:val="24"/>
          <w:lang w:val="en-US" w:eastAsia="zh-CN" w:bidi="en-US"/>
        </w:rPr>
        <w:t>(1)</w:t>
      </w:r>
      <w:r>
        <w:rPr>
          <w:rFonts w:hint="eastAsia" w:ascii="宋体" w:hAnsi="宋体" w:eastAsia="宋体" w:cs="宋体"/>
          <w:sz w:val="24"/>
          <w:szCs w:val="24"/>
          <w:lang w:bidi="en-US"/>
        </w:rPr>
        <w:t xml:space="preserve"> 计价方式：本项目为固定单次单价采购，供应商按【二级系统单次测评单价】、【三级系统单次测评单价】分别报价，三年内单价锁定（年度续签不调价）。</w:t>
      </w:r>
    </w:p>
    <w:p w14:paraId="37879010">
      <w:pPr>
        <w:spacing w:after="0" w:line="360" w:lineRule="auto"/>
        <w:ind w:firstLine="480" w:firstLineChars="200"/>
        <w:jc w:val="both"/>
        <w:rPr>
          <w:rFonts w:hint="eastAsia" w:ascii="宋体" w:hAnsi="宋体" w:eastAsia="宋体" w:cs="宋体"/>
          <w:sz w:val="24"/>
          <w:szCs w:val="24"/>
          <w:lang w:bidi="en-US"/>
        </w:rPr>
      </w:pPr>
      <w:r>
        <w:rPr>
          <w:rFonts w:hint="eastAsia" w:ascii="宋体" w:hAnsi="宋体" w:eastAsia="宋体" w:cs="宋体"/>
          <w:sz w:val="24"/>
          <w:szCs w:val="24"/>
          <w:lang w:val="en-US" w:eastAsia="zh-CN" w:bidi="en-US"/>
        </w:rPr>
        <w:t>(2)</w:t>
      </w:r>
      <w:r>
        <w:rPr>
          <w:rFonts w:hint="eastAsia" w:ascii="宋体" w:hAnsi="宋体" w:eastAsia="宋体" w:cs="宋体"/>
          <w:sz w:val="24"/>
          <w:szCs w:val="24"/>
          <w:lang w:bidi="en-US"/>
        </w:rPr>
        <w:t xml:space="preserve"> 报价包含内容：单次测评单价为全包闭口价，包含现场测评、</w:t>
      </w:r>
      <w:r>
        <w:rPr>
          <w:rFonts w:hint="eastAsia" w:ascii="宋体" w:hAnsi="宋体" w:eastAsia="宋体" w:cs="宋体"/>
          <w:sz w:val="24"/>
          <w:szCs w:val="24"/>
          <w:lang w:val="en-US" w:eastAsia="zh-CN" w:bidi="en-US"/>
        </w:rPr>
        <w:t>系统定级评审、</w:t>
      </w:r>
      <w:r>
        <w:rPr>
          <w:rFonts w:hint="eastAsia" w:ascii="宋体" w:hAnsi="宋体" w:eastAsia="宋体" w:cs="宋体"/>
          <w:sz w:val="24"/>
          <w:szCs w:val="24"/>
          <w:lang w:bidi="en-US"/>
        </w:rPr>
        <w:t>漏洞扫描、渗透测试、整改指导、复测、报告编制、资料装订、迎检配合、人工、交通、耗材、税费、保密服务、售后保障等全部费用，采购人无其他增量费用。</w:t>
      </w:r>
    </w:p>
    <w:p w14:paraId="1A77E531">
      <w:pPr>
        <w:spacing w:after="0" w:line="360" w:lineRule="auto"/>
        <w:ind w:firstLine="480" w:firstLineChars="200"/>
        <w:jc w:val="both"/>
        <w:rPr>
          <w:rFonts w:hint="eastAsia" w:ascii="宋体" w:hAnsi="宋体" w:eastAsia="宋体" w:cs="宋体"/>
          <w:sz w:val="24"/>
          <w:szCs w:val="24"/>
          <w:lang w:bidi="en-US"/>
        </w:rPr>
      </w:pPr>
      <w:r>
        <w:rPr>
          <w:rFonts w:hint="eastAsia" w:ascii="宋体" w:hAnsi="宋体" w:eastAsia="宋体" w:cs="宋体"/>
          <w:sz w:val="24"/>
          <w:szCs w:val="24"/>
          <w:lang w:val="en-US" w:eastAsia="zh-CN" w:bidi="en-US"/>
        </w:rPr>
        <w:t>(3)</w:t>
      </w:r>
      <w:r>
        <w:rPr>
          <w:rFonts w:hint="eastAsia" w:ascii="宋体" w:hAnsi="宋体" w:eastAsia="宋体" w:cs="宋体"/>
          <w:sz w:val="24"/>
          <w:szCs w:val="24"/>
          <w:lang w:bidi="en-US"/>
        </w:rPr>
        <w:t xml:space="preserve"> 结算原则：按需下单、按次验收、据实结算、年度清算。每年根据医院实际完成测评并验收合格的系统次数、等级进行结算，未发生测评不付费。</w:t>
      </w:r>
    </w:p>
    <w:p w14:paraId="6FCA981E">
      <w:pPr>
        <w:spacing w:after="0" w:line="360" w:lineRule="auto"/>
        <w:ind w:firstLine="480" w:firstLineChars="200"/>
        <w:jc w:val="both"/>
        <w:rPr>
          <w:rFonts w:hint="eastAsia" w:ascii="宋体" w:hAnsi="宋体" w:eastAsia="宋体" w:cs="宋体"/>
          <w:sz w:val="24"/>
          <w:szCs w:val="24"/>
          <w:lang w:bidi="en-US"/>
        </w:rPr>
      </w:pPr>
      <w:r>
        <w:rPr>
          <w:rFonts w:hint="eastAsia" w:ascii="宋体" w:hAnsi="宋体" w:eastAsia="宋体" w:cs="宋体"/>
          <w:sz w:val="24"/>
          <w:szCs w:val="24"/>
          <w:lang w:val="en-US" w:eastAsia="zh-CN" w:bidi="en-US"/>
        </w:rPr>
        <w:t>(4)</w:t>
      </w:r>
      <w:r>
        <w:rPr>
          <w:rFonts w:hint="eastAsia" w:ascii="宋体" w:hAnsi="宋体" w:eastAsia="宋体" w:cs="宋体"/>
          <w:sz w:val="24"/>
          <w:szCs w:val="24"/>
          <w:lang w:bidi="en-US"/>
        </w:rPr>
        <w:t xml:space="preserve"> 年度限额：采购人设置年度服务预算限额，年度实际发生费用不超过当年预算限额，超限额部分不予结算，次年额度重新生效。</w:t>
      </w:r>
    </w:p>
    <w:p w14:paraId="27F2C232">
      <w:pPr>
        <w:spacing w:after="0" w:line="360" w:lineRule="auto"/>
        <w:ind w:firstLine="480" w:firstLineChars="200"/>
        <w:jc w:val="both"/>
        <w:rPr>
          <w:rFonts w:hint="default" w:ascii="宋体" w:hAnsi="宋体" w:eastAsia="宋体"/>
          <w:sz w:val="24"/>
          <w:szCs w:val="24"/>
          <w:lang w:val="en-US" w:eastAsia="zh-CN"/>
        </w:rPr>
      </w:pPr>
      <w:r>
        <w:rPr>
          <w:rFonts w:hint="eastAsia" w:ascii="宋体" w:hAnsi="宋体" w:eastAsia="宋体" w:cs="宋体"/>
          <w:sz w:val="24"/>
          <w:szCs w:val="24"/>
          <w:lang w:val="en-US" w:eastAsia="zh-CN" w:bidi="en-US"/>
        </w:rPr>
        <w:t>(5)</w:t>
      </w:r>
      <w:r>
        <w:rPr>
          <w:rFonts w:hint="eastAsia" w:ascii="宋体" w:hAnsi="宋体" w:eastAsia="宋体" w:cs="宋体"/>
          <w:sz w:val="24"/>
          <w:szCs w:val="24"/>
          <w:lang w:bidi="en-US"/>
        </w:rPr>
        <w:t xml:space="preserve"> 调价机制：三年服务期内，供应商承诺单价固定不变，不得以市场波动、人员成本、系统复杂程度等理由申请涨价。</w:t>
      </w:r>
      <w:bookmarkEnd w:id="2"/>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新宋体">
    <w:panose1 w:val="02010609030101010101"/>
    <w:charset w:val="86"/>
    <w:family w:val="modern"/>
    <w:pitch w:val="default"/>
    <w:sig w:usb0="00000203" w:usb1="288F0000" w:usb2="0000000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AC213B"/>
    <w:multiLevelType w:val="singleLevel"/>
    <w:tmpl w:val="E6AC213B"/>
    <w:lvl w:ilvl="0" w:tentative="0">
      <w:start w:val="1"/>
      <w:numFmt w:val="decimal"/>
      <w:pStyle w:val="4"/>
      <w:lvlText w:val="%1."/>
      <w:lvlJc w:val="left"/>
      <w:pPr>
        <w:ind w:left="425" w:hanging="425"/>
      </w:pPr>
      <w:rPr>
        <w:rFonts w:hint="default"/>
      </w:rPr>
    </w:lvl>
  </w:abstractNum>
  <w:abstractNum w:abstractNumId="1">
    <w:nsid w:val="FAA24B06"/>
    <w:multiLevelType w:val="singleLevel"/>
    <w:tmpl w:val="FAA24B06"/>
    <w:lvl w:ilvl="0" w:tentative="0">
      <w:start w:val="1"/>
      <w:numFmt w:val="chineseCounting"/>
      <w:pStyle w:val="2"/>
      <w:suff w:val="nothing"/>
      <w:lvlText w:val="%1、"/>
      <w:lvlJc w:val="left"/>
      <w:pPr>
        <w:tabs>
          <w:tab w:val="left" w:pos="0"/>
        </w:tabs>
        <w:ind w:left="112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6E2DB6"/>
    <w:rsid w:val="00013122"/>
    <w:rsid w:val="00033A78"/>
    <w:rsid w:val="0004065B"/>
    <w:rsid w:val="00070F7D"/>
    <w:rsid w:val="000759E8"/>
    <w:rsid w:val="00091502"/>
    <w:rsid w:val="00093CAB"/>
    <w:rsid w:val="000A45CE"/>
    <w:rsid w:val="000C3CE5"/>
    <w:rsid w:val="000C7872"/>
    <w:rsid w:val="00100B05"/>
    <w:rsid w:val="00132509"/>
    <w:rsid w:val="001722B0"/>
    <w:rsid w:val="001A2597"/>
    <w:rsid w:val="002071D3"/>
    <w:rsid w:val="002130C5"/>
    <w:rsid w:val="002248C8"/>
    <w:rsid w:val="00243F5A"/>
    <w:rsid w:val="00273BDF"/>
    <w:rsid w:val="002A6D00"/>
    <w:rsid w:val="002D73F5"/>
    <w:rsid w:val="003246C3"/>
    <w:rsid w:val="00353690"/>
    <w:rsid w:val="00385371"/>
    <w:rsid w:val="003A7BAA"/>
    <w:rsid w:val="003D6EFA"/>
    <w:rsid w:val="003F2134"/>
    <w:rsid w:val="0047360D"/>
    <w:rsid w:val="00483600"/>
    <w:rsid w:val="00542CEF"/>
    <w:rsid w:val="005822C5"/>
    <w:rsid w:val="00592FF2"/>
    <w:rsid w:val="005B4BAF"/>
    <w:rsid w:val="00604535"/>
    <w:rsid w:val="00613969"/>
    <w:rsid w:val="006828C7"/>
    <w:rsid w:val="007042E6"/>
    <w:rsid w:val="0072116A"/>
    <w:rsid w:val="0073673C"/>
    <w:rsid w:val="00760E69"/>
    <w:rsid w:val="00775FAD"/>
    <w:rsid w:val="00785751"/>
    <w:rsid w:val="00796B90"/>
    <w:rsid w:val="007D1B48"/>
    <w:rsid w:val="007F78F2"/>
    <w:rsid w:val="008027DF"/>
    <w:rsid w:val="00806F5C"/>
    <w:rsid w:val="00821A73"/>
    <w:rsid w:val="00850693"/>
    <w:rsid w:val="008D6D71"/>
    <w:rsid w:val="00921464"/>
    <w:rsid w:val="009379B5"/>
    <w:rsid w:val="009F4EDC"/>
    <w:rsid w:val="00A017DF"/>
    <w:rsid w:val="00A261CE"/>
    <w:rsid w:val="00A90A79"/>
    <w:rsid w:val="00AD613E"/>
    <w:rsid w:val="00AE695B"/>
    <w:rsid w:val="00AF72A1"/>
    <w:rsid w:val="00BB0BF8"/>
    <w:rsid w:val="00BB3BD9"/>
    <w:rsid w:val="00BB4D45"/>
    <w:rsid w:val="00C239DF"/>
    <w:rsid w:val="00CC4FA1"/>
    <w:rsid w:val="00CD6D13"/>
    <w:rsid w:val="00D43B8C"/>
    <w:rsid w:val="00D66EF9"/>
    <w:rsid w:val="00D840B1"/>
    <w:rsid w:val="00D93A38"/>
    <w:rsid w:val="00DF6EF0"/>
    <w:rsid w:val="00E4319E"/>
    <w:rsid w:val="00E747B5"/>
    <w:rsid w:val="00E777B0"/>
    <w:rsid w:val="00E81519"/>
    <w:rsid w:val="00EA1368"/>
    <w:rsid w:val="00EB3A89"/>
    <w:rsid w:val="00ED4716"/>
    <w:rsid w:val="00EE58E1"/>
    <w:rsid w:val="00F374F6"/>
    <w:rsid w:val="00F72045"/>
    <w:rsid w:val="00F84BB6"/>
    <w:rsid w:val="00FC4244"/>
    <w:rsid w:val="031313AA"/>
    <w:rsid w:val="055963F6"/>
    <w:rsid w:val="077F1394"/>
    <w:rsid w:val="080A1AA8"/>
    <w:rsid w:val="0BA709CC"/>
    <w:rsid w:val="0F971788"/>
    <w:rsid w:val="139447E2"/>
    <w:rsid w:val="14142F81"/>
    <w:rsid w:val="16D37260"/>
    <w:rsid w:val="17C26585"/>
    <w:rsid w:val="18AD1325"/>
    <w:rsid w:val="1CE01C8B"/>
    <w:rsid w:val="2CFC34EA"/>
    <w:rsid w:val="35C437DB"/>
    <w:rsid w:val="3FDC71D0"/>
    <w:rsid w:val="456E2DB6"/>
    <w:rsid w:val="46F95B15"/>
    <w:rsid w:val="49706721"/>
    <w:rsid w:val="4CDA768D"/>
    <w:rsid w:val="4E246373"/>
    <w:rsid w:val="55240AC3"/>
    <w:rsid w:val="57F873A0"/>
    <w:rsid w:val="5C15444D"/>
    <w:rsid w:val="5C96714C"/>
    <w:rsid w:val="5FF23CE4"/>
    <w:rsid w:val="769B0BC3"/>
    <w:rsid w:val="7C7F43D8"/>
    <w:rsid w:val="7D972FF0"/>
    <w:rsid w:val="7E3437B0"/>
    <w:rsid w:val="EEB7AA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after="16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link w:val="16"/>
    <w:qFormat/>
    <w:uiPriority w:val="0"/>
    <w:pPr>
      <w:widowControl w:val="0"/>
      <w:numPr>
        <w:ilvl w:val="0"/>
        <w:numId w:val="1"/>
      </w:numPr>
      <w:wordWrap w:val="0"/>
      <w:topLinePunct/>
      <w:spacing w:line="360" w:lineRule="auto"/>
      <w:ind w:left="0"/>
      <w:outlineLvl w:val="0"/>
    </w:pPr>
    <w:rPr>
      <w:rFonts w:ascii="宋体" w:hAnsi="宋体" w:eastAsia="宋体" w:cs="宋体"/>
      <w:b/>
      <w:kern w:val="44"/>
      <w:sz w:val="24"/>
      <w:szCs w:val="24"/>
      <w:lang w:bidi="en-US"/>
    </w:rPr>
  </w:style>
  <w:style w:type="paragraph" w:styleId="3">
    <w:name w:val="heading 2"/>
    <w:basedOn w:val="1"/>
    <w:next w:val="1"/>
    <w:link w:val="17"/>
    <w:semiHidden/>
    <w:unhideWhenUsed/>
    <w:qFormat/>
    <w:uiPriority w:val="0"/>
    <w:pPr>
      <w:ind w:firstLine="723" w:firstLineChars="200"/>
      <w:outlineLvl w:val="1"/>
    </w:pPr>
    <w:rPr>
      <w:rFonts w:ascii="宋体" w:hAnsi="宋体" w:eastAsia="宋体" w:cs="宋体"/>
      <w:b/>
      <w:szCs w:val="28"/>
    </w:rPr>
  </w:style>
  <w:style w:type="paragraph" w:styleId="4">
    <w:name w:val="heading 3"/>
    <w:basedOn w:val="1"/>
    <w:next w:val="1"/>
    <w:link w:val="18"/>
    <w:semiHidden/>
    <w:unhideWhenUsed/>
    <w:qFormat/>
    <w:uiPriority w:val="0"/>
    <w:pPr>
      <w:keepNext/>
      <w:keepLines/>
      <w:numPr>
        <w:ilvl w:val="0"/>
        <w:numId w:val="2"/>
      </w:numPr>
      <w:spacing w:line="360" w:lineRule="auto"/>
      <w:outlineLvl w:val="2"/>
    </w:pPr>
    <w:rPr>
      <w:rFonts w:eastAsia="宋体" w:cs="宋体"/>
      <w:b/>
      <w:szCs w:val="28"/>
    </w:rPr>
  </w:style>
  <w:style w:type="paragraph" w:styleId="5">
    <w:name w:val="heading 4"/>
    <w:basedOn w:val="1"/>
    <w:next w:val="1"/>
    <w:link w:val="19"/>
    <w:semiHidden/>
    <w:unhideWhenUsed/>
    <w:qFormat/>
    <w:uiPriority w:val="0"/>
    <w:pPr>
      <w:keepNext/>
      <w:keepLines/>
      <w:spacing w:before="280" w:after="290" w:line="372" w:lineRule="auto"/>
      <w:outlineLvl w:val="3"/>
    </w:pPr>
    <w:rPr>
      <w:rFonts w:eastAsia="黑体"/>
      <w:b/>
      <w:sz w:val="28"/>
    </w:rPr>
  </w:style>
  <w:style w:type="character" w:default="1" w:styleId="14">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99"/>
    <w:pPr>
      <w:ind w:firstLine="420" w:firstLineChars="200"/>
    </w:pPr>
    <w:rPr>
      <w:rFonts w:asciiTheme="minorHAnsi" w:hAnsiTheme="minorHAnsi" w:cstheme="minorBidi"/>
      <w:kern w:val="2"/>
    </w:rPr>
  </w:style>
  <w:style w:type="paragraph" w:styleId="7">
    <w:name w:val="Body Text"/>
    <w:basedOn w:val="1"/>
    <w:next w:val="1"/>
    <w:unhideWhenUsed/>
    <w:qFormat/>
    <w:uiPriority w:val="99"/>
    <w:pPr>
      <w:spacing w:after="120"/>
    </w:pPr>
  </w:style>
  <w:style w:type="paragraph" w:styleId="8">
    <w:name w:val="Body Text Indent"/>
    <w:basedOn w:val="1"/>
    <w:link w:val="25"/>
    <w:qFormat/>
    <w:uiPriority w:val="0"/>
    <w:pPr>
      <w:spacing w:after="0" w:line="360" w:lineRule="auto"/>
      <w:ind w:firstLine="480" w:firstLineChars="200"/>
      <w:jc w:val="both"/>
    </w:pPr>
    <w:rPr>
      <w:rFonts w:ascii="宋体" w:hAnsi="宋体" w:eastAsia="宋体" w:cs="宋体"/>
      <w:sz w:val="24"/>
      <w:szCs w:val="24"/>
    </w:rPr>
  </w:style>
  <w:style w:type="paragraph" w:styleId="9">
    <w:name w:val="footer"/>
    <w:basedOn w:val="1"/>
    <w:link w:val="21"/>
    <w:qFormat/>
    <w:uiPriority w:val="0"/>
    <w:pPr>
      <w:tabs>
        <w:tab w:val="center" w:pos="4153"/>
        <w:tab w:val="right" w:pos="8306"/>
      </w:tabs>
    </w:pPr>
    <w:rPr>
      <w:sz w:val="18"/>
      <w:szCs w:val="18"/>
    </w:rPr>
  </w:style>
  <w:style w:type="paragraph" w:styleId="10">
    <w:name w:val="header"/>
    <w:basedOn w:val="1"/>
    <w:link w:val="20"/>
    <w:qFormat/>
    <w:uiPriority w:val="0"/>
    <w:pPr>
      <w:tabs>
        <w:tab w:val="center" w:pos="4153"/>
        <w:tab w:val="right" w:pos="8306"/>
      </w:tabs>
      <w:jc w:val="center"/>
    </w:pPr>
    <w:rPr>
      <w:sz w:val="18"/>
      <w:szCs w:val="18"/>
    </w:rPr>
  </w:style>
  <w:style w:type="paragraph" w:styleId="11">
    <w:name w:val="Title"/>
    <w:basedOn w:val="1"/>
    <w:next w:val="1"/>
    <w:link w:val="22"/>
    <w:qFormat/>
    <w:uiPriority w:val="0"/>
    <w:pPr>
      <w:spacing w:before="240" w:after="60"/>
      <w:jc w:val="center"/>
      <w:outlineLvl w:val="0"/>
    </w:pPr>
    <w:rPr>
      <w:rFonts w:asciiTheme="majorHAnsi" w:hAnsiTheme="majorHAnsi" w:eastAsiaTheme="majorEastAsia" w:cstheme="majorBidi"/>
      <w:b/>
      <w:bCs/>
      <w:sz w:val="32"/>
      <w:szCs w:val="3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customStyle="1" w:styleId="16">
    <w:name w:val="标题 1 字符"/>
    <w:link w:val="2"/>
    <w:qFormat/>
    <w:uiPriority w:val="0"/>
    <w:rPr>
      <w:rFonts w:ascii="宋体" w:hAnsi="宋体" w:cs="宋体"/>
      <w:b/>
      <w:snapToGrid w:val="0"/>
      <w:color w:val="000000"/>
      <w:kern w:val="44"/>
      <w:sz w:val="24"/>
      <w:szCs w:val="24"/>
      <w:lang w:bidi="en-US"/>
    </w:rPr>
  </w:style>
  <w:style w:type="character" w:customStyle="1" w:styleId="17">
    <w:name w:val="标题 2 字符"/>
    <w:link w:val="3"/>
    <w:qFormat/>
    <w:uiPriority w:val="0"/>
    <w:rPr>
      <w:rFonts w:ascii="宋体" w:hAnsi="宋体" w:eastAsia="宋体" w:cs="宋体"/>
      <w:b/>
      <w:kern w:val="2"/>
      <w:sz w:val="28"/>
      <w:szCs w:val="28"/>
      <w:lang w:val="en-US" w:eastAsia="zh-CN" w:bidi="ar-SA"/>
    </w:rPr>
  </w:style>
  <w:style w:type="character" w:customStyle="1" w:styleId="18">
    <w:name w:val="标题 3 字符"/>
    <w:link w:val="4"/>
    <w:qFormat/>
    <w:uiPriority w:val="0"/>
    <w:rPr>
      <w:rFonts w:eastAsia="宋体" w:cs="宋体"/>
      <w:b/>
      <w:sz w:val="28"/>
      <w:szCs w:val="28"/>
    </w:rPr>
  </w:style>
  <w:style w:type="character" w:customStyle="1" w:styleId="19">
    <w:name w:val="标题 4 字符"/>
    <w:basedOn w:val="14"/>
    <w:link w:val="5"/>
    <w:qFormat/>
    <w:uiPriority w:val="0"/>
    <w:rPr>
      <w:rFonts w:ascii="Calibri Light" w:hAnsi="Calibri Light" w:eastAsia="宋体" w:cs="Times New Roman"/>
      <w:b/>
      <w:bCs/>
      <w:kern w:val="2"/>
      <w:sz w:val="28"/>
      <w:szCs w:val="28"/>
    </w:rPr>
  </w:style>
  <w:style w:type="character" w:customStyle="1" w:styleId="20">
    <w:name w:val="页眉 字符"/>
    <w:basedOn w:val="14"/>
    <w:link w:val="10"/>
    <w:qFormat/>
    <w:uiPriority w:val="0"/>
    <w:rPr>
      <w:rFonts w:ascii="Arial" w:hAnsi="Arial" w:eastAsia="Arial" w:cs="Arial"/>
      <w:snapToGrid w:val="0"/>
      <w:color w:val="000000"/>
      <w:sz w:val="18"/>
      <w:szCs w:val="18"/>
    </w:rPr>
  </w:style>
  <w:style w:type="character" w:customStyle="1" w:styleId="21">
    <w:name w:val="页脚 字符"/>
    <w:basedOn w:val="14"/>
    <w:link w:val="9"/>
    <w:qFormat/>
    <w:uiPriority w:val="0"/>
    <w:rPr>
      <w:rFonts w:ascii="Arial" w:hAnsi="Arial" w:eastAsia="Arial" w:cs="Arial"/>
      <w:snapToGrid w:val="0"/>
      <w:color w:val="000000"/>
      <w:sz w:val="18"/>
      <w:szCs w:val="18"/>
    </w:rPr>
  </w:style>
  <w:style w:type="character" w:customStyle="1" w:styleId="22">
    <w:name w:val="标题 字符"/>
    <w:basedOn w:val="14"/>
    <w:link w:val="11"/>
    <w:qFormat/>
    <w:uiPriority w:val="0"/>
    <w:rPr>
      <w:rFonts w:asciiTheme="majorHAnsi" w:hAnsiTheme="majorHAnsi" w:eastAsiaTheme="majorEastAsia" w:cstheme="majorBidi"/>
      <w:b/>
      <w:bCs/>
      <w:snapToGrid w:val="0"/>
      <w:color w:val="000000"/>
      <w:sz w:val="32"/>
      <w:szCs w:val="32"/>
    </w:rPr>
  </w:style>
  <w:style w:type="paragraph" w:customStyle="1" w:styleId="23">
    <w:name w:val="无间隔1"/>
    <w:basedOn w:val="1"/>
    <w:qFormat/>
    <w:uiPriority w:val="1"/>
    <w:pPr>
      <w:widowControl w:val="0"/>
      <w:kinsoku/>
      <w:autoSpaceDE/>
      <w:autoSpaceDN/>
      <w:adjustRightInd/>
      <w:snapToGrid/>
      <w:spacing w:after="0"/>
      <w:jc w:val="both"/>
      <w:textAlignment w:val="auto"/>
    </w:pPr>
    <w:rPr>
      <w:rFonts w:cs="宋体" w:asciiTheme="minorHAnsi" w:hAnsiTheme="minorHAnsi" w:eastAsiaTheme="minorEastAsia"/>
      <w:snapToGrid/>
      <w:color w:val="auto"/>
      <w:kern w:val="2"/>
      <w:szCs w:val="24"/>
    </w:rPr>
  </w:style>
  <w:style w:type="paragraph" w:styleId="24">
    <w:name w:val="List Paragraph"/>
    <w:basedOn w:val="1"/>
    <w:unhideWhenUsed/>
    <w:qFormat/>
    <w:uiPriority w:val="34"/>
    <w:pPr>
      <w:ind w:firstLine="420" w:firstLineChars="200"/>
    </w:pPr>
  </w:style>
  <w:style w:type="character" w:customStyle="1" w:styleId="25">
    <w:name w:val="正文文本缩进 字符"/>
    <w:basedOn w:val="14"/>
    <w:link w:val="8"/>
    <w:qFormat/>
    <w:uiPriority w:val="0"/>
    <w:rPr>
      <w:rFonts w:ascii="宋体" w:hAnsi="宋体" w:cs="宋体"/>
      <w:snapToGrid w:val="0"/>
      <w:color w:val="00000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421</Words>
  <Characters>604</Characters>
  <Lines>35</Lines>
  <Paragraphs>9</Paragraphs>
  <TotalTime>41</TotalTime>
  <ScaleCrop>false</ScaleCrop>
  <LinksUpToDate>false</LinksUpToDate>
  <CharactersWithSpaces>604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2026-10-28T06:56:00Z</dcterms:created>
  <dc:creator>时小Q</dc:creator>
  <cp:lastModifiedBy>Alisa</cp:lastModifiedBy>
  <cp:lastPrinted>2026-01-19T17:11:00Z</cp:lastPrinted>
  <dcterms:modified xsi:type="dcterms:W3CDTF">2026-11-03T09:54:00Z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B002E0157B634A3088CC8A03B29D3006_13</vt:lpwstr>
  </property>
  <property fmtid="{D5CDD505-2E9C-101B-9397-08002B2CF9AE}" pid="4" name="KSOTemplateDocerSaveRecord">
    <vt:lpwstr>eyJoZGlkIjoiNDVlN2MyODgzNDU0OWRjN2ExNzgwMTdlZTM2YjcwMTYiLCJ1c2VySWQiOiI2Mzk2MDIzNDUifQ==</vt:lpwstr>
  </property>
</Properties>
</file>