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D3C82">
      <w:pPr>
        <w:pStyle w:val="2"/>
        <w:numPr>
          <w:ilvl w:val="0"/>
          <w:numId w:val="0"/>
        </w:numPr>
        <w:ind w:left="0" w:leftChars="0" w:firstLine="0" w:firstLineChars="0"/>
        <w:rPr>
          <w:rFonts w:hint="eastAsia" w:ascii="黑体" w:hAnsi="黑体" w:eastAsia="黑体" w:cs="黑体"/>
          <w:b w:val="0"/>
          <w:bCs/>
          <w:snapToGrid w:val="0"/>
          <w:color w:val="000000"/>
          <w:kern w:val="44"/>
          <w:sz w:val="32"/>
          <w:szCs w:val="32"/>
          <w:lang w:val="en-US" w:eastAsia="zh-CN" w:bidi="en-US"/>
        </w:rPr>
      </w:pPr>
      <w:bookmarkStart w:id="0" w:name="OLE_LINK10"/>
      <w:r>
        <w:rPr>
          <w:rFonts w:hint="eastAsia" w:ascii="黑体" w:hAnsi="黑体" w:eastAsia="黑体" w:cs="黑体"/>
          <w:b w:val="0"/>
          <w:bCs/>
          <w:snapToGrid w:val="0"/>
          <w:color w:val="000000"/>
          <w:kern w:val="44"/>
          <w:sz w:val="32"/>
          <w:szCs w:val="32"/>
          <w:lang w:val="en-US" w:eastAsia="zh-CN" w:bidi="en-US"/>
        </w:rPr>
        <w:t>附件2</w:t>
      </w:r>
    </w:p>
    <w:p w14:paraId="34DAA256">
      <w:pPr>
        <w:jc w:val="center"/>
        <w:rPr>
          <w:rFonts w:ascii="Tahoma" w:hAnsi="Tahoma" w:eastAsia="宋体" w:cs="Tahoma"/>
          <w:b/>
          <w:bCs/>
          <w:kern w:val="36"/>
          <w:sz w:val="36"/>
          <w:szCs w:val="36"/>
        </w:rPr>
      </w:pPr>
      <w:r>
        <w:rPr>
          <w:rFonts w:ascii="Tahoma" w:hAnsi="Tahoma" w:eastAsia="宋体" w:cs="Tahoma"/>
          <w:b/>
          <w:bCs/>
          <w:kern w:val="36"/>
          <w:sz w:val="36"/>
          <w:szCs w:val="36"/>
        </w:rPr>
        <w:t>贵州医科大学第三附属医院</w:t>
      </w:r>
      <w:bookmarkStart w:id="4" w:name="_GoBack"/>
      <w:bookmarkEnd w:id="4"/>
    </w:p>
    <w:p w14:paraId="55DFE615">
      <w:pPr>
        <w:pStyle w:val="2"/>
        <w:numPr>
          <w:ilvl w:val="0"/>
          <w:numId w:val="0"/>
        </w:numPr>
        <w:ind w:left="0" w:leftChars="0" w:firstLine="0" w:firstLineChars="0"/>
        <w:jc w:val="center"/>
        <w:rPr>
          <w:rFonts w:hint="default" w:eastAsia="新宋体"/>
          <w:lang w:val="en-US" w:eastAsia="zh-CN"/>
        </w:rPr>
      </w:pPr>
      <w:r>
        <w:rPr>
          <w:rFonts w:hint="eastAsia" w:ascii="新宋体" w:hAnsi="新宋体" w:eastAsia="新宋体" w:cs="新宋体"/>
          <w:b/>
          <w:sz w:val="36"/>
          <w:szCs w:val="36"/>
          <w:shd w:val="clear" w:color="auto" w:fill="FFFFFF"/>
        </w:rPr>
        <w:t>网络安全等级保护测评服务项目</w:t>
      </w:r>
      <w:r>
        <w:rPr>
          <w:rFonts w:hint="eastAsia" w:ascii="新宋体" w:hAnsi="新宋体" w:eastAsia="新宋体" w:cs="新宋体"/>
          <w:b/>
          <w:sz w:val="36"/>
          <w:szCs w:val="36"/>
          <w:shd w:val="clear" w:color="auto" w:fill="FFFFFF"/>
          <w:lang w:val="en-US" w:eastAsia="zh-CN"/>
        </w:rPr>
        <w:t>评审方法</w:t>
      </w:r>
    </w:p>
    <w:p w14:paraId="368CF334">
      <w:pPr>
        <w:pStyle w:val="2"/>
        <w:numPr>
          <w:ilvl w:val="0"/>
          <w:numId w:val="0"/>
        </w:numPr>
        <w:ind w:left="0" w:leftChars="0" w:firstLine="0" w:firstLineChars="0"/>
        <w:rPr>
          <w:rFonts w:hint="eastAsia"/>
        </w:rPr>
      </w:pPr>
      <w:r>
        <w:rPr>
          <w:rFonts w:hint="eastAsia"/>
          <w:lang w:val="en-US" w:eastAsia="zh-CN"/>
        </w:rPr>
        <w:t>一、</w:t>
      </w:r>
      <w:r>
        <w:rPr>
          <w:rFonts w:hint="eastAsia"/>
        </w:rPr>
        <w:t>评审方法说明</w:t>
      </w:r>
    </w:p>
    <w:p w14:paraId="585ADAF2">
      <w:pPr>
        <w:ind w:firstLine="480" w:firstLineChars="200"/>
        <w:jc w:val="both"/>
        <w:rPr>
          <w:rFonts w:hint="eastAsia" w:ascii="宋体" w:hAnsi="宋体" w:eastAsia="宋体"/>
          <w:color w:val="auto"/>
          <w:sz w:val="24"/>
          <w:szCs w:val="24"/>
        </w:rPr>
      </w:pPr>
      <w:r>
        <w:rPr>
          <w:rFonts w:hint="eastAsia" w:ascii="宋体" w:hAnsi="宋体" w:eastAsia="宋体"/>
          <w:color w:val="auto"/>
          <w:sz w:val="24"/>
          <w:szCs w:val="24"/>
        </w:rPr>
        <w:t>本项目评分总分为100分，其中商务评审</w:t>
      </w:r>
      <w:r>
        <w:rPr>
          <w:rFonts w:hint="eastAsia" w:ascii="宋体" w:hAnsi="宋体" w:eastAsia="宋体"/>
          <w:color w:val="auto"/>
          <w:sz w:val="24"/>
          <w:szCs w:val="24"/>
          <w:lang w:val="en-US" w:eastAsia="zh-CN"/>
        </w:rPr>
        <w:t>47</w:t>
      </w:r>
      <w:r>
        <w:rPr>
          <w:rFonts w:hint="eastAsia" w:ascii="宋体" w:hAnsi="宋体" w:eastAsia="宋体"/>
          <w:color w:val="auto"/>
          <w:sz w:val="24"/>
          <w:szCs w:val="24"/>
        </w:rPr>
        <w:t>分、技术评审3</w:t>
      </w:r>
      <w:r>
        <w:rPr>
          <w:rFonts w:hint="eastAsia" w:ascii="宋体" w:hAnsi="宋体" w:eastAsia="宋体"/>
          <w:color w:val="auto"/>
          <w:sz w:val="24"/>
          <w:szCs w:val="24"/>
          <w:lang w:val="en-US" w:eastAsia="zh-CN"/>
        </w:rPr>
        <w:t>8</w:t>
      </w:r>
      <w:r>
        <w:rPr>
          <w:rFonts w:hint="eastAsia" w:ascii="宋体" w:hAnsi="宋体" w:eastAsia="宋体"/>
          <w:color w:val="auto"/>
          <w:sz w:val="24"/>
          <w:szCs w:val="24"/>
        </w:rPr>
        <w:t>分、报价评审15分。</w:t>
      </w:r>
      <w:bookmarkStart w:id="1" w:name="OLE_LINK5"/>
      <w:r>
        <w:rPr>
          <w:rFonts w:hint="eastAsia" w:ascii="宋体" w:hAnsi="宋体" w:eastAsia="宋体"/>
          <w:color w:val="auto"/>
          <w:sz w:val="24"/>
          <w:szCs w:val="24"/>
        </w:rPr>
        <w:t>评审小组按下列评分标准对供应商进行综合评分，按总分由高到低排序推荐成交供应商</w:t>
      </w:r>
      <w:bookmarkEnd w:id="1"/>
      <w:r>
        <w:rPr>
          <w:rFonts w:hint="eastAsia" w:ascii="宋体" w:hAnsi="宋体" w:eastAsia="宋体"/>
          <w:color w:val="auto"/>
          <w:sz w:val="24"/>
          <w:szCs w:val="24"/>
        </w:rPr>
        <w:t>。</w:t>
      </w:r>
    </w:p>
    <w:p w14:paraId="308E5393"/>
    <w:p w14:paraId="5F290A30">
      <w:pPr>
        <w:spacing w:before="101" w:line="357" w:lineRule="auto"/>
        <w:ind w:right="1"/>
        <w:rPr>
          <w:rFonts w:hint="eastAsia" w:ascii="宋体" w:hAnsi="宋体" w:eastAsia="宋体" w:cs="宋体"/>
          <w:b/>
          <w:bCs/>
          <w:spacing w:val="4"/>
          <w:sz w:val="24"/>
          <w:szCs w:val="24"/>
        </w:rPr>
      </w:pPr>
      <w:r>
        <w:rPr>
          <w:rFonts w:hint="eastAsia" w:ascii="宋体" w:hAnsi="宋体" w:eastAsia="宋体" w:cs="宋体"/>
          <w:b/>
          <w:bCs/>
          <w:spacing w:val="4"/>
          <w:sz w:val="24"/>
          <w:szCs w:val="24"/>
          <w:lang w:val="zh-CN"/>
        </w:rPr>
        <w:t>（1）商务评审（</w:t>
      </w:r>
      <w:r>
        <w:rPr>
          <w:rFonts w:hint="eastAsia" w:ascii="宋体" w:hAnsi="宋体" w:eastAsia="宋体" w:cs="宋体"/>
          <w:b/>
          <w:bCs/>
          <w:spacing w:val="4"/>
          <w:sz w:val="24"/>
          <w:szCs w:val="24"/>
          <w:lang w:val="en-US" w:eastAsia="zh-CN"/>
        </w:rPr>
        <w:t>47</w:t>
      </w:r>
      <w:r>
        <w:rPr>
          <w:rFonts w:hint="eastAsia" w:ascii="宋体" w:hAnsi="宋体" w:eastAsia="宋体" w:cs="宋体"/>
          <w:b/>
          <w:bCs/>
          <w:spacing w:val="4"/>
          <w:sz w:val="24"/>
          <w:szCs w:val="24"/>
        </w:rPr>
        <w:t>分</w:t>
      </w:r>
      <w:r>
        <w:rPr>
          <w:rFonts w:hint="eastAsia" w:ascii="宋体" w:hAnsi="宋体" w:eastAsia="宋体" w:cs="宋体"/>
          <w:b/>
          <w:bCs/>
          <w:spacing w:val="4"/>
          <w:sz w:val="24"/>
          <w:szCs w:val="24"/>
          <w:lang w:val="zh-CN"/>
        </w:rPr>
        <w:t>）</w:t>
      </w:r>
    </w:p>
    <w:tbl>
      <w:tblPr>
        <w:tblStyle w:val="12"/>
        <w:tblW w:w="5234" w:type="pct"/>
        <w:tblInd w:w="0" w:type="dxa"/>
        <w:tblLayout w:type="fixed"/>
        <w:tblCellMar>
          <w:top w:w="85" w:type="dxa"/>
          <w:left w:w="85" w:type="dxa"/>
          <w:bottom w:w="85" w:type="dxa"/>
          <w:right w:w="85" w:type="dxa"/>
        </w:tblCellMar>
      </w:tblPr>
      <w:tblGrid>
        <w:gridCol w:w="541"/>
        <w:gridCol w:w="855"/>
        <w:gridCol w:w="7303"/>
        <w:gridCol w:w="737"/>
      </w:tblGrid>
      <w:tr w14:paraId="4AECE9F8">
        <w:tblPrEx>
          <w:tblCellMar>
            <w:top w:w="85" w:type="dxa"/>
            <w:left w:w="85" w:type="dxa"/>
            <w:bottom w:w="85" w:type="dxa"/>
            <w:right w:w="85" w:type="dxa"/>
          </w:tblCellMar>
        </w:tblPrEx>
        <w:trPr>
          <w:trHeight w:val="737" w:hRule="atLeast"/>
        </w:trPr>
        <w:tc>
          <w:tcPr>
            <w:tcW w:w="286" w:type="pct"/>
            <w:tcBorders>
              <w:top w:val="single" w:color="auto" w:sz="6" w:space="0"/>
              <w:left w:val="single" w:color="auto" w:sz="6" w:space="0"/>
              <w:bottom w:val="single" w:color="auto" w:sz="6" w:space="0"/>
              <w:right w:val="single" w:color="auto" w:sz="6" w:space="0"/>
              <w:tl2br w:val="nil"/>
              <w:tr2bl w:val="nil"/>
            </w:tcBorders>
            <w:vAlign w:val="center"/>
          </w:tcPr>
          <w:p w14:paraId="4478C0D5">
            <w:pPr>
              <w:keepNext w:val="0"/>
              <w:keepLines w:val="0"/>
              <w:pageBreakBefore w:val="0"/>
              <w:widowControl/>
              <w:wordWrap/>
              <w:overflowPunct/>
              <w:topLinePunct w:val="0"/>
              <w:autoSpaceDE/>
              <w:bidi w:val="0"/>
              <w:jc w:val="center"/>
              <w:rPr>
                <w:rFonts w:hint="eastAsia" w:ascii="宋体" w:hAnsi="宋体" w:eastAsia="宋体"/>
                <w:b/>
                <w:bCs/>
                <w:color w:val="auto"/>
                <w:sz w:val="24"/>
                <w:szCs w:val="24"/>
              </w:rPr>
            </w:pPr>
            <w:r>
              <w:rPr>
                <w:rFonts w:hint="eastAsia" w:ascii="宋体" w:hAnsi="宋体" w:eastAsia="宋体"/>
                <w:b/>
                <w:bCs/>
                <w:color w:val="auto"/>
                <w:sz w:val="24"/>
                <w:szCs w:val="24"/>
                <w:lang w:val="zh-CN"/>
              </w:rPr>
              <w:t>序号</w:t>
            </w:r>
          </w:p>
        </w:tc>
        <w:tc>
          <w:tcPr>
            <w:tcW w:w="453" w:type="pct"/>
            <w:tcBorders>
              <w:top w:val="single" w:color="auto" w:sz="6" w:space="0"/>
              <w:left w:val="single" w:color="auto" w:sz="6" w:space="0"/>
              <w:bottom w:val="single" w:color="auto" w:sz="6" w:space="0"/>
              <w:right w:val="single" w:color="auto" w:sz="6" w:space="0"/>
              <w:tl2br w:val="nil"/>
              <w:tr2bl w:val="nil"/>
            </w:tcBorders>
            <w:vAlign w:val="center"/>
          </w:tcPr>
          <w:p w14:paraId="678A8CB5">
            <w:pPr>
              <w:keepNext w:val="0"/>
              <w:keepLines w:val="0"/>
              <w:pageBreakBefore w:val="0"/>
              <w:widowControl/>
              <w:wordWrap/>
              <w:overflowPunct/>
              <w:topLinePunct w:val="0"/>
              <w:autoSpaceDE/>
              <w:bidi w:val="0"/>
              <w:jc w:val="center"/>
              <w:rPr>
                <w:rFonts w:hint="eastAsia" w:ascii="宋体" w:hAnsi="宋体" w:eastAsia="宋体"/>
                <w:b/>
                <w:bCs/>
                <w:color w:val="auto"/>
                <w:sz w:val="24"/>
                <w:szCs w:val="24"/>
              </w:rPr>
            </w:pPr>
            <w:r>
              <w:rPr>
                <w:rFonts w:hint="eastAsia" w:ascii="宋体" w:hAnsi="宋体" w:eastAsia="宋体"/>
                <w:b/>
                <w:bCs/>
                <w:color w:val="auto"/>
                <w:sz w:val="24"/>
                <w:szCs w:val="24"/>
                <w:lang w:val="zh-CN"/>
              </w:rPr>
              <w:t>评审因素</w:t>
            </w:r>
          </w:p>
        </w:tc>
        <w:tc>
          <w:tcPr>
            <w:tcW w:w="3869" w:type="pct"/>
            <w:tcBorders>
              <w:top w:val="single" w:color="auto" w:sz="6" w:space="0"/>
              <w:left w:val="single" w:color="auto" w:sz="6" w:space="0"/>
              <w:bottom w:val="single" w:color="auto" w:sz="6" w:space="0"/>
              <w:right w:val="single" w:color="auto" w:sz="6" w:space="0"/>
              <w:tl2br w:val="nil"/>
              <w:tr2bl w:val="nil"/>
            </w:tcBorders>
            <w:vAlign w:val="center"/>
          </w:tcPr>
          <w:p w14:paraId="4944FA15">
            <w:pPr>
              <w:keepNext w:val="0"/>
              <w:keepLines w:val="0"/>
              <w:pageBreakBefore w:val="0"/>
              <w:widowControl/>
              <w:wordWrap/>
              <w:overflowPunct/>
              <w:topLinePunct w:val="0"/>
              <w:autoSpaceDE/>
              <w:bidi w:val="0"/>
              <w:jc w:val="center"/>
              <w:rPr>
                <w:rFonts w:hint="eastAsia" w:ascii="宋体" w:hAnsi="宋体" w:eastAsia="宋体"/>
                <w:b/>
                <w:bCs/>
                <w:color w:val="auto"/>
                <w:sz w:val="24"/>
                <w:szCs w:val="24"/>
              </w:rPr>
            </w:pPr>
            <w:r>
              <w:rPr>
                <w:rFonts w:hint="eastAsia" w:ascii="宋体" w:hAnsi="宋体" w:eastAsia="宋体"/>
                <w:b/>
                <w:bCs/>
                <w:color w:val="auto"/>
                <w:sz w:val="24"/>
                <w:szCs w:val="24"/>
                <w:lang w:val="zh-CN"/>
              </w:rPr>
              <w:t>评审标准</w:t>
            </w:r>
          </w:p>
        </w:tc>
        <w:tc>
          <w:tcPr>
            <w:tcW w:w="390" w:type="pct"/>
            <w:tcBorders>
              <w:top w:val="single" w:color="auto" w:sz="6" w:space="0"/>
              <w:left w:val="single" w:color="auto" w:sz="6" w:space="0"/>
              <w:bottom w:val="single" w:color="auto" w:sz="6" w:space="0"/>
              <w:right w:val="single" w:color="auto" w:sz="6" w:space="0"/>
              <w:tl2br w:val="nil"/>
              <w:tr2bl w:val="nil"/>
            </w:tcBorders>
            <w:vAlign w:val="center"/>
          </w:tcPr>
          <w:p w14:paraId="763ADAE8">
            <w:pPr>
              <w:keepNext w:val="0"/>
              <w:keepLines w:val="0"/>
              <w:pageBreakBefore w:val="0"/>
              <w:widowControl/>
              <w:wordWrap/>
              <w:overflowPunct/>
              <w:topLinePunct w:val="0"/>
              <w:autoSpaceDE/>
              <w:bidi w:val="0"/>
              <w:jc w:val="center"/>
              <w:rPr>
                <w:rFonts w:hint="eastAsia" w:ascii="宋体" w:hAnsi="宋体" w:eastAsia="宋体"/>
                <w:b/>
                <w:bCs/>
                <w:color w:val="auto"/>
                <w:sz w:val="24"/>
                <w:szCs w:val="24"/>
              </w:rPr>
            </w:pPr>
            <w:r>
              <w:rPr>
                <w:rFonts w:hint="eastAsia" w:ascii="宋体" w:hAnsi="宋体" w:eastAsia="宋体"/>
                <w:b/>
                <w:bCs/>
                <w:color w:val="auto"/>
                <w:sz w:val="24"/>
                <w:szCs w:val="24"/>
                <w:lang w:val="zh-CN"/>
              </w:rPr>
              <w:t>分值</w:t>
            </w:r>
          </w:p>
        </w:tc>
      </w:tr>
      <w:tr w14:paraId="67464F73">
        <w:tblPrEx>
          <w:tblCellMar>
            <w:top w:w="85" w:type="dxa"/>
            <w:left w:w="85" w:type="dxa"/>
            <w:bottom w:w="85" w:type="dxa"/>
            <w:right w:w="85" w:type="dxa"/>
          </w:tblCellMar>
        </w:tblPrEx>
        <w:tc>
          <w:tcPr>
            <w:tcW w:w="286" w:type="pct"/>
            <w:tcBorders>
              <w:top w:val="single" w:color="auto" w:sz="6" w:space="0"/>
              <w:left w:val="single" w:color="auto" w:sz="6" w:space="0"/>
              <w:bottom w:val="single" w:color="auto" w:sz="6" w:space="0"/>
              <w:right w:val="single" w:color="auto" w:sz="6" w:space="0"/>
              <w:tl2br w:val="nil"/>
              <w:tr2bl w:val="nil"/>
            </w:tcBorders>
            <w:vAlign w:val="center"/>
          </w:tcPr>
          <w:p w14:paraId="7DD8BA50">
            <w:pPr>
              <w:keepNext w:val="0"/>
              <w:keepLines w:val="0"/>
              <w:pageBreakBefore w:val="0"/>
              <w:widowControl/>
              <w:wordWrap/>
              <w:overflowPunct/>
              <w:topLinePunct w:val="0"/>
              <w:autoSpaceDE/>
              <w:bidi w:val="0"/>
              <w:jc w:val="center"/>
              <w:rPr>
                <w:rFonts w:hint="eastAsia" w:ascii="宋体" w:hAnsi="宋体" w:eastAsia="宋体"/>
                <w:color w:val="auto"/>
                <w:sz w:val="24"/>
                <w:szCs w:val="24"/>
              </w:rPr>
            </w:pPr>
            <w:bookmarkStart w:id="2" w:name="_Hlk230183453"/>
            <w:r>
              <w:rPr>
                <w:rFonts w:ascii="宋体" w:hAnsi="宋体" w:eastAsia="宋体"/>
                <w:color w:val="auto"/>
                <w:sz w:val="24"/>
                <w:szCs w:val="24"/>
              </w:rPr>
              <w:t>1</w:t>
            </w:r>
          </w:p>
        </w:tc>
        <w:tc>
          <w:tcPr>
            <w:tcW w:w="453" w:type="pct"/>
            <w:tcBorders>
              <w:top w:val="single" w:color="auto" w:sz="6" w:space="0"/>
              <w:left w:val="single" w:color="auto" w:sz="6" w:space="0"/>
              <w:bottom w:val="single" w:color="auto" w:sz="6" w:space="0"/>
              <w:right w:val="single" w:color="auto" w:sz="6" w:space="0"/>
              <w:tl2br w:val="nil"/>
              <w:tr2bl w:val="nil"/>
            </w:tcBorders>
            <w:vAlign w:val="center"/>
          </w:tcPr>
          <w:p w14:paraId="7E708C7D">
            <w:pPr>
              <w:keepNext w:val="0"/>
              <w:keepLines w:val="0"/>
              <w:pageBreakBefore w:val="0"/>
              <w:widowControl/>
              <w:wordWrap/>
              <w:overflowPunct/>
              <w:topLinePunct w:val="0"/>
              <w:autoSpaceDE/>
              <w:bidi w:val="0"/>
              <w:jc w:val="center"/>
              <w:rPr>
                <w:rFonts w:hint="eastAsia" w:ascii="宋体" w:hAnsi="宋体" w:eastAsia="宋体"/>
                <w:color w:val="auto"/>
                <w:sz w:val="24"/>
                <w:szCs w:val="24"/>
              </w:rPr>
            </w:pPr>
            <w:r>
              <w:rPr>
                <w:rFonts w:hint="eastAsia" w:ascii="宋体" w:hAnsi="宋体" w:eastAsia="宋体"/>
                <w:color w:val="auto"/>
                <w:sz w:val="24"/>
                <w:szCs w:val="24"/>
                <w:lang w:val="zh-CN"/>
              </w:rPr>
              <w:t>企业</w:t>
            </w:r>
            <w:r>
              <w:rPr>
                <w:rFonts w:hint="eastAsia" w:ascii="宋体" w:hAnsi="宋体" w:eastAsia="宋体"/>
                <w:color w:val="auto"/>
                <w:sz w:val="24"/>
                <w:szCs w:val="24"/>
              </w:rPr>
              <w:t>综合实力</w:t>
            </w:r>
          </w:p>
        </w:tc>
        <w:tc>
          <w:tcPr>
            <w:tcW w:w="3869" w:type="pct"/>
            <w:tcBorders>
              <w:top w:val="single" w:color="auto" w:sz="6" w:space="0"/>
              <w:left w:val="single" w:color="auto" w:sz="6" w:space="0"/>
              <w:bottom w:val="single" w:color="auto" w:sz="6" w:space="0"/>
              <w:right w:val="single" w:color="auto" w:sz="6" w:space="0"/>
              <w:tl2br w:val="nil"/>
              <w:tr2bl w:val="nil"/>
            </w:tcBorders>
            <w:vAlign w:val="center"/>
          </w:tcPr>
          <w:p w14:paraId="18CE1321">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lang w:val="en-US" w:eastAsia="zh-CN"/>
              </w:rPr>
              <w:t>1.</w:t>
            </w:r>
            <w:r>
              <w:rPr>
                <w:rFonts w:hint="eastAsia" w:ascii="宋体" w:hAnsi="宋体" w:eastAsia="宋体"/>
                <w:color w:val="auto"/>
                <w:sz w:val="21"/>
                <w:szCs w:val="21"/>
              </w:rPr>
              <w:t>具备质量管理体系认证证书（ISO9001），得 1.5 分；</w:t>
            </w:r>
          </w:p>
          <w:p w14:paraId="52C8B8A0">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lang w:val="en-US" w:eastAsia="zh-CN"/>
              </w:rPr>
              <w:t>2.</w:t>
            </w:r>
            <w:r>
              <w:rPr>
                <w:rFonts w:hint="eastAsia" w:ascii="宋体" w:hAnsi="宋体" w:eastAsia="宋体"/>
                <w:color w:val="auto"/>
                <w:sz w:val="21"/>
                <w:szCs w:val="21"/>
              </w:rPr>
              <w:t>具备信息安全管理体系认证证书（ISO27001），得 1.5 分；</w:t>
            </w:r>
            <w:r>
              <w:rPr>
                <w:rFonts w:hint="eastAsia" w:ascii="宋体" w:hAnsi="宋体" w:eastAsia="宋体"/>
                <w:color w:val="auto"/>
                <w:sz w:val="21"/>
                <w:szCs w:val="21"/>
                <w:lang w:val="en-US" w:eastAsia="zh-CN"/>
              </w:rPr>
              <w:t>3.</w:t>
            </w:r>
            <w:r>
              <w:rPr>
                <w:rFonts w:hint="eastAsia" w:ascii="宋体" w:hAnsi="宋体" w:eastAsia="宋体"/>
                <w:color w:val="auto"/>
                <w:sz w:val="21"/>
                <w:szCs w:val="21"/>
              </w:rPr>
              <w:t>具备信息技术服务管理体系认证证书（ISO20000），得 1.5 分；</w:t>
            </w:r>
          </w:p>
          <w:p w14:paraId="5029986E">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lang w:val="en-US" w:eastAsia="zh-CN"/>
              </w:rPr>
              <w:t>4.</w:t>
            </w:r>
            <w:r>
              <w:rPr>
                <w:rFonts w:hint="eastAsia" w:ascii="宋体" w:hAnsi="宋体" w:eastAsia="宋体"/>
                <w:color w:val="auto"/>
                <w:sz w:val="21"/>
                <w:szCs w:val="21"/>
              </w:rPr>
              <w:t>具备其他与本项目相关的信息安全服务认证证书（如 CCRC 信息安全服务资质认证、个人信息保护合规审计服务认证等），得 1.5 分。</w:t>
            </w:r>
          </w:p>
          <w:p w14:paraId="52CA9A1A">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rPr>
              <w:t>注：①提供相关证书复印件或扫描件加盖供应商公章；同一认证不重复计分；②证书须为供应商自身持有，母公司、分公司、关联方证书不予计分；③以上认证仅作为加分项，不作为本项目资格准入条件。</w:t>
            </w:r>
          </w:p>
        </w:tc>
        <w:tc>
          <w:tcPr>
            <w:tcW w:w="390" w:type="pct"/>
            <w:tcBorders>
              <w:top w:val="single" w:color="auto" w:sz="6" w:space="0"/>
              <w:left w:val="single" w:color="auto" w:sz="6" w:space="0"/>
              <w:bottom w:val="single" w:color="auto" w:sz="6" w:space="0"/>
              <w:right w:val="single" w:color="auto" w:sz="6" w:space="0"/>
              <w:tl2br w:val="nil"/>
              <w:tr2bl w:val="nil"/>
            </w:tcBorders>
            <w:vAlign w:val="center"/>
          </w:tcPr>
          <w:p w14:paraId="4186B122">
            <w:pPr>
              <w:keepNext w:val="0"/>
              <w:keepLines w:val="0"/>
              <w:pageBreakBefore w:val="0"/>
              <w:widowControl/>
              <w:wordWrap/>
              <w:overflowPunct/>
              <w:topLinePunct w:val="0"/>
              <w:autoSpaceDE/>
              <w:bidi w:val="0"/>
              <w:jc w:val="center"/>
              <w:rPr>
                <w:rFonts w:hint="eastAsia" w:ascii="宋体" w:hAnsi="宋体" w:eastAsia="宋体"/>
                <w:color w:val="auto"/>
                <w:sz w:val="24"/>
                <w:szCs w:val="24"/>
              </w:rPr>
            </w:pPr>
            <w:r>
              <w:rPr>
                <w:rFonts w:hint="eastAsia" w:ascii="宋体" w:hAnsi="宋体" w:eastAsia="宋体"/>
                <w:color w:val="auto"/>
                <w:sz w:val="24"/>
                <w:szCs w:val="24"/>
                <w:lang w:val="en-US" w:eastAsia="zh-CN"/>
              </w:rPr>
              <w:t>6</w:t>
            </w:r>
            <w:r>
              <w:rPr>
                <w:rFonts w:hint="eastAsia" w:ascii="宋体" w:hAnsi="宋体" w:eastAsia="宋体"/>
                <w:color w:val="auto"/>
                <w:sz w:val="24"/>
                <w:szCs w:val="24"/>
                <w:lang w:val="zh-CN"/>
              </w:rPr>
              <w:t>分</w:t>
            </w:r>
          </w:p>
        </w:tc>
      </w:tr>
      <w:bookmarkEnd w:id="2"/>
      <w:tr w14:paraId="6D06BF23">
        <w:tblPrEx>
          <w:tblCellMar>
            <w:top w:w="85" w:type="dxa"/>
            <w:left w:w="85" w:type="dxa"/>
            <w:bottom w:w="85" w:type="dxa"/>
            <w:right w:w="85" w:type="dxa"/>
          </w:tblCellMar>
        </w:tblPrEx>
        <w:trPr>
          <w:trHeight w:val="9016" w:hRule="atLeast"/>
        </w:trPr>
        <w:tc>
          <w:tcPr>
            <w:tcW w:w="286" w:type="pct"/>
            <w:tcBorders>
              <w:top w:val="single" w:color="auto" w:sz="6" w:space="0"/>
              <w:left w:val="single" w:color="auto" w:sz="6" w:space="0"/>
              <w:bottom w:val="single" w:color="auto" w:sz="6" w:space="0"/>
              <w:right w:val="single" w:color="auto" w:sz="6" w:space="0"/>
              <w:tl2br w:val="nil"/>
              <w:tr2bl w:val="nil"/>
            </w:tcBorders>
            <w:vAlign w:val="center"/>
          </w:tcPr>
          <w:p w14:paraId="0F62D06A">
            <w:pPr>
              <w:keepNext w:val="0"/>
              <w:keepLines w:val="0"/>
              <w:pageBreakBefore w:val="0"/>
              <w:widowControl/>
              <w:wordWrap/>
              <w:overflowPunct/>
              <w:topLinePunct w:val="0"/>
              <w:autoSpaceDE/>
              <w:bidi w:val="0"/>
              <w:jc w:val="center"/>
              <w:rPr>
                <w:rFonts w:hint="eastAsia" w:ascii="宋体" w:hAnsi="宋体" w:eastAsia="宋体"/>
                <w:color w:val="auto"/>
                <w:sz w:val="24"/>
                <w:szCs w:val="24"/>
              </w:rPr>
            </w:pPr>
            <w:r>
              <w:rPr>
                <w:rFonts w:ascii="宋体" w:hAnsi="宋体" w:eastAsia="宋体"/>
                <w:color w:val="auto"/>
                <w:sz w:val="24"/>
                <w:szCs w:val="24"/>
              </w:rPr>
              <w:t>2</w:t>
            </w:r>
          </w:p>
        </w:tc>
        <w:tc>
          <w:tcPr>
            <w:tcW w:w="453" w:type="pct"/>
            <w:tcBorders>
              <w:top w:val="single" w:color="auto" w:sz="6" w:space="0"/>
              <w:left w:val="single" w:color="auto" w:sz="6" w:space="0"/>
              <w:bottom w:val="single" w:color="auto" w:sz="6" w:space="0"/>
              <w:right w:val="single" w:color="auto" w:sz="6" w:space="0"/>
              <w:tl2br w:val="nil"/>
              <w:tr2bl w:val="nil"/>
            </w:tcBorders>
            <w:vAlign w:val="center"/>
          </w:tcPr>
          <w:p w14:paraId="5CE2199E">
            <w:pPr>
              <w:keepNext w:val="0"/>
              <w:keepLines w:val="0"/>
              <w:pageBreakBefore w:val="0"/>
              <w:widowControl/>
              <w:wordWrap/>
              <w:overflowPunct/>
              <w:topLinePunct w:val="0"/>
              <w:autoSpaceDE/>
              <w:bidi w:val="0"/>
              <w:jc w:val="center"/>
              <w:rPr>
                <w:rFonts w:hint="eastAsia" w:ascii="宋体" w:hAnsi="宋体" w:eastAsia="宋体"/>
                <w:color w:val="auto"/>
                <w:sz w:val="24"/>
                <w:szCs w:val="24"/>
              </w:rPr>
            </w:pPr>
            <w:r>
              <w:rPr>
                <w:rFonts w:hint="eastAsia" w:ascii="宋体" w:hAnsi="宋体" w:eastAsia="宋体"/>
                <w:color w:val="auto"/>
                <w:sz w:val="24"/>
                <w:szCs w:val="24"/>
                <w:lang w:val="zh-CN"/>
              </w:rPr>
              <w:t>项目团队</w:t>
            </w:r>
          </w:p>
        </w:tc>
        <w:tc>
          <w:tcPr>
            <w:tcW w:w="3869" w:type="pct"/>
            <w:tcBorders>
              <w:top w:val="single" w:color="auto" w:sz="6" w:space="0"/>
              <w:left w:val="single" w:color="auto" w:sz="6" w:space="0"/>
              <w:bottom w:val="single" w:color="auto" w:sz="6" w:space="0"/>
              <w:right w:val="single" w:color="auto" w:sz="6" w:space="0"/>
              <w:tl2br w:val="nil"/>
              <w:tr2bl w:val="nil"/>
            </w:tcBorders>
            <w:vAlign w:val="center"/>
          </w:tcPr>
          <w:p w14:paraId="466E7CE2">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（一）项目负责人（1 人），最高 6 分：</w:t>
            </w:r>
          </w:p>
          <w:p w14:paraId="3705A274">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1.具有网络安全等级测评师证书（高级）得 2 分，中级得 1 分，按最高等级计分；</w:t>
            </w:r>
          </w:p>
          <w:p w14:paraId="48CE9B75">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2.具有网络与信息安全管理师证书得 1 分；</w:t>
            </w:r>
          </w:p>
          <w:p w14:paraId="63C41395">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3. 具有信息系统审计师证书、CISP、CISSP、CISAW 等其它信息安全类认证，每项得 1 分，最高 3 分。</w:t>
            </w:r>
          </w:p>
          <w:p w14:paraId="7C8C28D8">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（二）现场负责人（1 人），最高 5 分：</w:t>
            </w:r>
          </w:p>
          <w:p w14:paraId="38CD437C">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具有网络安全等级测评师证书（中级及以上），得 2 分；</w:t>
            </w:r>
          </w:p>
          <w:p w14:paraId="04F8419A">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具有人社部门颁发的信息安全工程师等国家职业资格认证证书，得 1 分；</w:t>
            </w:r>
          </w:p>
          <w:p w14:paraId="0B6611A3">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3. 具有注册渗透测试工程师（CISP</w:t>
            </w:r>
            <w:r>
              <w:rPr>
                <w:rFonts w:hint="eastAsia" w:ascii="宋体" w:hAnsi="宋体" w:eastAsia="宋体"/>
                <w:color w:val="auto"/>
                <w:sz w:val="21"/>
                <w:szCs w:val="21"/>
                <w:lang w:val="en-US" w:eastAsia="zh-CN"/>
              </w:rPr>
              <w:noBreakHyphen/>
            </w:r>
            <w:r>
              <w:rPr>
                <w:rFonts w:hint="eastAsia" w:ascii="宋体" w:hAnsi="宋体" w:eastAsia="宋体"/>
                <w:color w:val="auto"/>
                <w:sz w:val="21"/>
                <w:szCs w:val="21"/>
                <w:lang w:val="en-US" w:eastAsia="zh-CN"/>
              </w:rPr>
              <w:t>PTE）、信息安全保障人员认证证书（应急服务）、信息系统审计师证书等认证，每项得 1 分，最高 2 分。</w:t>
            </w:r>
          </w:p>
          <w:p w14:paraId="6FD56ED2">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（三）质量管理人员（1 人），最高 3 分：</w:t>
            </w:r>
          </w:p>
          <w:p w14:paraId="69B80436">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1.具有网络安全等级测评师证书（中级及以上），得 2 分；</w:t>
            </w:r>
          </w:p>
          <w:p w14:paraId="72392D32">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2具有人社部门颁发的信息安全工程师、网络安全工程师证书，得 0.5 分；</w:t>
            </w:r>
          </w:p>
          <w:p w14:paraId="3F783A1C">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3. 具有个人信息保护合规审计人员能力评价证书，得 0.5 分。</w:t>
            </w:r>
          </w:p>
          <w:p w14:paraId="185CD33A">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（四）现场测评人员，最高 4 分：</w:t>
            </w:r>
          </w:p>
          <w:p w14:paraId="3E7C0F75">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1.每提供 1 名网络安全等级测评师（中级及以上）人员，得 1 分，最高 2 分；</w:t>
            </w:r>
          </w:p>
          <w:p w14:paraId="42C56C0B">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2.在此基础上，人员具有 CISAW 和 CCRC</w:t>
            </w:r>
            <w:r>
              <w:rPr>
                <w:rFonts w:hint="eastAsia" w:ascii="宋体" w:hAnsi="宋体" w:eastAsia="宋体"/>
                <w:color w:val="auto"/>
                <w:sz w:val="21"/>
                <w:szCs w:val="21"/>
                <w:lang w:val="en-US" w:eastAsia="zh-CN"/>
              </w:rPr>
              <w:noBreakHyphen/>
            </w:r>
            <w:r>
              <w:rPr>
                <w:rFonts w:hint="eastAsia" w:ascii="宋体" w:hAnsi="宋体" w:eastAsia="宋体"/>
                <w:color w:val="auto"/>
                <w:sz w:val="21"/>
                <w:szCs w:val="21"/>
                <w:lang w:val="en-US" w:eastAsia="zh-CN"/>
              </w:rPr>
              <w:t>DSA 认证的，每名加 1 分，最高 2 分。</w:t>
            </w:r>
          </w:p>
          <w:p w14:paraId="11AD8434">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（五）售后保障人员（1 人），最高 2 分：</w:t>
            </w:r>
          </w:p>
          <w:p w14:paraId="38076E71">
            <w:pPr>
              <w:keepNext w:val="0"/>
              <w:keepLines/>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0D0D0D" w:themeColor="text1" w:themeTint="F2"/>
                <w:sz w:val="21"/>
                <w:szCs w:val="21"/>
                <w:highlight w:val="none"/>
                <w:lang w:val="zh-CN"/>
                <w14:textFill>
                  <w14:solidFill>
                    <w14:schemeClr w14:val="tx1">
                      <w14:lumMod w14:val="95000"/>
                      <w14:lumOff w14:val="5000"/>
                    </w14:schemeClr>
                  </w14:solidFill>
                </w14:textFill>
              </w:rPr>
            </w:pPr>
            <w:r>
              <w:rPr>
                <w:rFonts w:hint="eastAsia" w:ascii="宋体" w:hAnsi="宋体" w:eastAsia="宋体"/>
                <w:color w:val="auto"/>
                <w:sz w:val="21"/>
                <w:szCs w:val="21"/>
                <w:lang w:val="en-US" w:eastAsia="zh-CN"/>
              </w:rPr>
              <w:t>具有人社部门颁发的软件评测师、信息系统项目管理师、系统集成项目管理工程师、信息化类工程师职称证书，每提供 1 个得 1 分，最高 2 分。以上五条</w:t>
            </w:r>
            <w:r>
              <w:rPr>
                <w:rFonts w:ascii="宋体" w:hAnsi="宋体" w:eastAsia="宋体" w:cs="宋体"/>
                <w:color w:val="1F2329"/>
                <w:kern w:val="0"/>
                <w:sz w:val="21"/>
                <w:szCs w:val="21"/>
                <w:lang w:val="en-US" w:eastAsia="zh-CN" w:bidi="ar"/>
              </w:rPr>
              <w:t>注：①以上人员不得重复计分，不接受兼职、外聘人员；②提供人员身份证复印件、相关资质证书复印件、供应商为其缴纳的</w:t>
            </w:r>
            <w:r>
              <w:rPr>
                <w:rStyle w:val="15"/>
                <w:rFonts w:ascii="宋体" w:hAnsi="宋体" w:eastAsia="宋体" w:cs="宋体"/>
                <w:b/>
                <w:bCs/>
                <w:color w:val="1F2329"/>
                <w:kern w:val="0"/>
                <w:sz w:val="21"/>
                <w:szCs w:val="21"/>
                <w:lang w:val="en-US" w:eastAsia="zh-CN" w:bidi="ar"/>
              </w:rPr>
              <w:t>响应文件递交截止时间前近 6 个月内任意一个月的社保证明</w:t>
            </w:r>
            <w:r>
              <w:rPr>
                <w:rFonts w:ascii="宋体" w:hAnsi="宋体" w:eastAsia="宋体" w:cs="宋体"/>
                <w:color w:val="1F2329"/>
                <w:kern w:val="0"/>
                <w:sz w:val="21"/>
                <w:szCs w:val="21"/>
                <w:lang w:val="en-US" w:eastAsia="zh-CN" w:bidi="ar"/>
              </w:rPr>
              <w:t>，加盖供应商公章，未按要求提供的不得分。</w:t>
            </w:r>
          </w:p>
        </w:tc>
        <w:tc>
          <w:tcPr>
            <w:tcW w:w="390" w:type="pct"/>
            <w:tcBorders>
              <w:top w:val="single" w:color="auto" w:sz="6" w:space="0"/>
              <w:left w:val="single" w:color="auto" w:sz="6" w:space="0"/>
              <w:bottom w:val="single" w:color="auto" w:sz="6" w:space="0"/>
              <w:right w:val="single" w:color="auto" w:sz="6" w:space="0"/>
              <w:tl2br w:val="nil"/>
              <w:tr2bl w:val="nil"/>
            </w:tcBorders>
            <w:vAlign w:val="center"/>
          </w:tcPr>
          <w:p w14:paraId="1024C0D7">
            <w:pPr>
              <w:keepNext w:val="0"/>
              <w:keepLines w:val="0"/>
              <w:pageBreakBefore w:val="0"/>
              <w:widowControl/>
              <w:wordWrap/>
              <w:overflowPunct/>
              <w:topLinePunct w:val="0"/>
              <w:autoSpaceDE/>
              <w:bidi w:val="0"/>
              <w:jc w:val="center"/>
              <w:rPr>
                <w:rFonts w:hint="eastAsia" w:ascii="宋体" w:hAnsi="宋体" w:eastAsia="宋体"/>
                <w:color w:val="auto"/>
                <w:sz w:val="24"/>
                <w:szCs w:val="24"/>
              </w:rPr>
            </w:pPr>
            <w:r>
              <w:rPr>
                <w:rFonts w:hint="eastAsia" w:ascii="宋体" w:hAnsi="宋体" w:eastAsia="宋体"/>
                <w:color w:val="auto"/>
                <w:sz w:val="24"/>
                <w:szCs w:val="24"/>
              </w:rPr>
              <w:t>2</w:t>
            </w:r>
            <w:r>
              <w:rPr>
                <w:rFonts w:hint="eastAsia" w:ascii="宋体" w:hAnsi="宋体" w:eastAsia="宋体"/>
                <w:color w:val="auto"/>
                <w:sz w:val="24"/>
                <w:szCs w:val="24"/>
                <w:lang w:val="en-US" w:eastAsia="zh-CN"/>
              </w:rPr>
              <w:t>0</w:t>
            </w:r>
            <w:r>
              <w:rPr>
                <w:rFonts w:hint="eastAsia" w:ascii="宋体" w:hAnsi="宋体" w:eastAsia="宋体"/>
                <w:color w:val="auto"/>
                <w:sz w:val="24"/>
                <w:szCs w:val="24"/>
                <w:lang w:val="zh-CN"/>
              </w:rPr>
              <w:t>分</w:t>
            </w:r>
          </w:p>
        </w:tc>
      </w:tr>
      <w:tr w14:paraId="2017795A">
        <w:tblPrEx>
          <w:tblCellMar>
            <w:top w:w="85" w:type="dxa"/>
            <w:left w:w="85" w:type="dxa"/>
            <w:bottom w:w="85" w:type="dxa"/>
            <w:right w:w="85" w:type="dxa"/>
          </w:tblCellMar>
        </w:tblPrEx>
        <w:tc>
          <w:tcPr>
            <w:tcW w:w="286" w:type="pct"/>
            <w:tcBorders>
              <w:top w:val="single" w:color="auto" w:sz="6" w:space="0"/>
              <w:left w:val="single" w:color="auto" w:sz="6" w:space="0"/>
              <w:bottom w:val="single" w:color="auto" w:sz="6" w:space="0"/>
              <w:right w:val="single" w:color="auto" w:sz="6" w:space="0"/>
              <w:tl2br w:val="nil"/>
              <w:tr2bl w:val="nil"/>
            </w:tcBorders>
            <w:vAlign w:val="center"/>
          </w:tcPr>
          <w:p w14:paraId="36DF830C">
            <w:pPr>
              <w:keepNext w:val="0"/>
              <w:keepLines w:val="0"/>
              <w:pageBreakBefore w:val="0"/>
              <w:widowControl/>
              <w:wordWrap/>
              <w:overflowPunct/>
              <w:topLinePunct w:val="0"/>
              <w:autoSpaceDE/>
              <w:bidi w:val="0"/>
              <w:jc w:val="center"/>
              <w:rPr>
                <w:rFonts w:hint="eastAsia" w:ascii="宋体" w:hAnsi="宋体" w:eastAsia="宋体"/>
                <w:color w:val="auto"/>
                <w:sz w:val="24"/>
                <w:szCs w:val="24"/>
              </w:rPr>
            </w:pPr>
            <w:r>
              <w:rPr>
                <w:rFonts w:hint="eastAsia" w:ascii="宋体" w:hAnsi="宋体" w:eastAsia="宋体"/>
                <w:color w:val="auto"/>
                <w:sz w:val="24"/>
                <w:szCs w:val="24"/>
              </w:rPr>
              <w:t>3</w:t>
            </w:r>
          </w:p>
        </w:tc>
        <w:tc>
          <w:tcPr>
            <w:tcW w:w="453" w:type="pct"/>
            <w:tcBorders>
              <w:top w:val="single" w:color="auto" w:sz="6" w:space="0"/>
              <w:left w:val="single" w:color="auto" w:sz="6" w:space="0"/>
              <w:bottom w:val="single" w:color="auto" w:sz="6" w:space="0"/>
              <w:right w:val="single" w:color="auto" w:sz="6" w:space="0"/>
              <w:tl2br w:val="nil"/>
              <w:tr2bl w:val="nil"/>
            </w:tcBorders>
            <w:vAlign w:val="center"/>
          </w:tcPr>
          <w:p w14:paraId="37B33B67">
            <w:pPr>
              <w:keepNext w:val="0"/>
              <w:keepLines w:val="0"/>
              <w:pageBreakBefore w:val="0"/>
              <w:widowControl/>
              <w:wordWrap/>
              <w:overflowPunct/>
              <w:topLinePunct w:val="0"/>
              <w:autoSpaceDE/>
              <w:bidi w:val="0"/>
              <w:jc w:val="center"/>
              <w:rPr>
                <w:rFonts w:hint="eastAsia" w:ascii="宋体" w:hAnsi="宋体" w:eastAsia="宋体"/>
                <w:color w:val="auto"/>
                <w:sz w:val="24"/>
                <w:szCs w:val="24"/>
              </w:rPr>
            </w:pPr>
            <w:r>
              <w:rPr>
                <w:rFonts w:hint="eastAsia" w:ascii="宋体" w:hAnsi="宋体" w:eastAsia="宋体"/>
                <w:color w:val="auto"/>
                <w:sz w:val="24"/>
                <w:szCs w:val="24"/>
                <w:lang w:val="zh-CN"/>
              </w:rPr>
              <w:t>业绩</w:t>
            </w:r>
          </w:p>
        </w:tc>
        <w:tc>
          <w:tcPr>
            <w:tcW w:w="3869" w:type="pct"/>
            <w:tcBorders>
              <w:top w:val="single" w:color="auto" w:sz="6" w:space="0"/>
              <w:left w:val="single" w:color="auto" w:sz="6" w:space="0"/>
              <w:bottom w:val="single" w:color="auto" w:sz="6" w:space="0"/>
              <w:right w:val="single" w:color="auto" w:sz="6" w:space="0"/>
              <w:tl2br w:val="nil"/>
              <w:tr2bl w:val="nil"/>
            </w:tcBorders>
            <w:vAlign w:val="center"/>
          </w:tcPr>
          <w:p w14:paraId="0DAA31D7">
            <w:pPr>
              <w:keepNext w:val="0"/>
              <w:keepLines w:val="0"/>
              <w:pageBreakBefore w:val="0"/>
              <w:widowControl/>
              <w:wordWrap/>
              <w:overflowPunct/>
              <w:topLinePunct w:val="0"/>
              <w:autoSpaceDE/>
              <w:bidi w:val="0"/>
              <w:jc w:val="both"/>
              <w:rPr>
                <w:rFonts w:ascii="宋体" w:hAnsi="宋体" w:eastAsia="宋体" w:cs="宋体"/>
                <w:color w:val="1F2329"/>
                <w:kern w:val="0"/>
                <w:sz w:val="21"/>
                <w:szCs w:val="21"/>
                <w:lang w:val="en-US" w:eastAsia="zh-CN" w:bidi="ar"/>
              </w:rPr>
            </w:pPr>
            <w:r>
              <w:rPr>
                <w:rFonts w:ascii="宋体" w:hAnsi="宋体" w:eastAsia="宋体" w:cs="宋体"/>
                <w:color w:val="1F2329"/>
                <w:kern w:val="0"/>
                <w:sz w:val="21"/>
                <w:szCs w:val="21"/>
                <w:lang w:val="en-US" w:eastAsia="zh-CN" w:bidi="ar"/>
              </w:rPr>
              <w:t>提供供应商 2023 年 1 月 1 日（以合同签订日期为准）以来网络安全等级保护测评类似业绩，每提供 1 个得 2 分，基础得分最高得 10 分。</w:t>
            </w:r>
            <w:r>
              <w:rPr>
                <w:rFonts w:ascii="宋体" w:hAnsi="宋体" w:eastAsia="宋体" w:cs="宋体"/>
                <w:color w:val="FF0000"/>
                <w:kern w:val="0"/>
                <w:sz w:val="21"/>
                <w:szCs w:val="21"/>
                <w:lang w:val="en-US" w:eastAsia="zh-CN" w:bidi="ar"/>
              </w:rPr>
              <w:t>其中业绩属于医疗卫生机构等保测评项目的，</w:t>
            </w:r>
            <w:r>
              <w:rPr>
                <w:rFonts w:ascii="宋体" w:hAnsi="宋体" w:eastAsia="宋体" w:cs="宋体"/>
                <w:color w:val="1F2329"/>
                <w:kern w:val="0"/>
                <w:sz w:val="21"/>
                <w:szCs w:val="21"/>
                <w:lang w:val="en-US" w:eastAsia="zh-CN" w:bidi="ar"/>
              </w:rPr>
              <w:t>每 1 个可额外加 1 分，额外加分最高 4 分；本评审项合计总分不超过 10 分。</w:t>
            </w:r>
          </w:p>
          <w:p w14:paraId="3731538B">
            <w:pPr>
              <w:keepNext w:val="0"/>
              <w:keepLines w:val="0"/>
              <w:pageBreakBefore w:val="0"/>
              <w:widowControl/>
              <w:wordWrap/>
              <w:overflowPunct/>
              <w:topLinePunct w:val="0"/>
              <w:autoSpaceDE/>
              <w:bidi w:val="0"/>
              <w:jc w:val="both"/>
              <w:rPr>
                <w:rFonts w:hint="eastAsia" w:ascii="宋体" w:hAnsi="宋体" w:eastAsia="宋体"/>
                <w:color w:val="0D0D0D" w:themeColor="text1" w:themeTint="F2"/>
                <w:sz w:val="21"/>
                <w:szCs w:val="21"/>
                <w:lang w:val="zh-CN"/>
                <w14:textFill>
                  <w14:solidFill>
                    <w14:schemeClr w14:val="tx1">
                      <w14:lumMod w14:val="95000"/>
                      <w14:lumOff w14:val="5000"/>
                    </w14:schemeClr>
                  </w14:solidFill>
                </w14:textFill>
              </w:rPr>
            </w:pPr>
            <w:r>
              <w:rPr>
                <w:rFonts w:ascii="宋体" w:hAnsi="宋体" w:eastAsia="宋体" w:cs="宋体"/>
                <w:color w:val="1F2329"/>
                <w:kern w:val="0"/>
                <w:sz w:val="21"/>
                <w:szCs w:val="21"/>
                <w:lang w:val="en-US" w:eastAsia="zh-CN" w:bidi="ar"/>
              </w:rPr>
              <w:t>注：提供中标通知书或合同关键页（首页、服务内容、金额、签章页）复印件或扫描件加盖供应商公章；业绩须为供应商自身业绩，母子公司及关联公司业绩不计分；合同服务内容须明确包含 “网络安全等级保护测评”。</w:t>
            </w:r>
          </w:p>
        </w:tc>
        <w:tc>
          <w:tcPr>
            <w:tcW w:w="390" w:type="pct"/>
            <w:tcBorders>
              <w:top w:val="single" w:color="auto" w:sz="6" w:space="0"/>
              <w:left w:val="single" w:color="auto" w:sz="6" w:space="0"/>
              <w:bottom w:val="single" w:color="auto" w:sz="6" w:space="0"/>
              <w:right w:val="single" w:color="auto" w:sz="6" w:space="0"/>
              <w:tl2br w:val="nil"/>
              <w:tr2bl w:val="nil"/>
            </w:tcBorders>
            <w:vAlign w:val="center"/>
          </w:tcPr>
          <w:p w14:paraId="7A5EC0CD">
            <w:pPr>
              <w:keepNext w:val="0"/>
              <w:keepLines w:val="0"/>
              <w:pageBreakBefore w:val="0"/>
              <w:widowControl/>
              <w:wordWrap/>
              <w:overflowPunct/>
              <w:topLinePunct w:val="0"/>
              <w:autoSpaceDE/>
              <w:bidi w:val="0"/>
              <w:jc w:val="center"/>
              <w:rPr>
                <w:rFonts w:hint="eastAsia" w:ascii="宋体" w:hAnsi="宋体" w:eastAsia="宋体"/>
                <w:color w:val="auto"/>
                <w:sz w:val="24"/>
                <w:szCs w:val="24"/>
              </w:rPr>
            </w:pPr>
            <w:r>
              <w:rPr>
                <w:rFonts w:hint="eastAsia" w:ascii="宋体" w:hAnsi="宋体" w:eastAsia="宋体"/>
                <w:color w:val="auto"/>
                <w:sz w:val="24"/>
                <w:szCs w:val="24"/>
                <w:lang w:val="zh-CN"/>
              </w:rPr>
              <w:t>10分</w:t>
            </w:r>
          </w:p>
        </w:tc>
      </w:tr>
      <w:tr w14:paraId="41C62288">
        <w:tblPrEx>
          <w:tblCellMar>
            <w:top w:w="85" w:type="dxa"/>
            <w:left w:w="85" w:type="dxa"/>
            <w:bottom w:w="85" w:type="dxa"/>
            <w:right w:w="85" w:type="dxa"/>
          </w:tblCellMar>
        </w:tblPrEx>
        <w:tc>
          <w:tcPr>
            <w:tcW w:w="286" w:type="pct"/>
            <w:tcBorders>
              <w:top w:val="single" w:color="auto" w:sz="6" w:space="0"/>
              <w:left w:val="single" w:color="auto" w:sz="6" w:space="0"/>
              <w:bottom w:val="single" w:color="auto" w:sz="6" w:space="0"/>
              <w:right w:val="single" w:color="auto" w:sz="6" w:space="0"/>
              <w:tl2br w:val="nil"/>
              <w:tr2bl w:val="nil"/>
            </w:tcBorders>
            <w:vAlign w:val="center"/>
          </w:tcPr>
          <w:p w14:paraId="3F97355B">
            <w:pPr>
              <w:keepNext w:val="0"/>
              <w:keepLines w:val="0"/>
              <w:pageBreakBefore w:val="0"/>
              <w:widowControl/>
              <w:wordWrap/>
              <w:overflowPunct/>
              <w:topLinePunct w:val="0"/>
              <w:autoSpaceDE/>
              <w:bidi w:val="0"/>
              <w:jc w:val="center"/>
              <w:rPr>
                <w:rFonts w:hint="eastAsia" w:ascii="宋体" w:hAnsi="宋体" w:eastAsia="宋体"/>
                <w:color w:val="auto"/>
                <w:sz w:val="24"/>
                <w:szCs w:val="24"/>
              </w:rPr>
            </w:pPr>
            <w:r>
              <w:rPr>
                <w:rFonts w:hint="eastAsia" w:ascii="宋体" w:hAnsi="宋体" w:eastAsia="宋体"/>
                <w:color w:val="auto"/>
                <w:sz w:val="24"/>
                <w:szCs w:val="24"/>
              </w:rPr>
              <w:t>4</w:t>
            </w:r>
          </w:p>
        </w:tc>
        <w:tc>
          <w:tcPr>
            <w:tcW w:w="453" w:type="pct"/>
            <w:tcBorders>
              <w:top w:val="single" w:color="auto" w:sz="6" w:space="0"/>
              <w:left w:val="single" w:color="auto" w:sz="6" w:space="0"/>
              <w:bottom w:val="single" w:color="auto" w:sz="6" w:space="0"/>
              <w:right w:val="single" w:color="auto" w:sz="6" w:space="0"/>
              <w:tl2br w:val="nil"/>
              <w:tr2bl w:val="nil"/>
            </w:tcBorders>
            <w:vAlign w:val="center"/>
          </w:tcPr>
          <w:p w14:paraId="26E6BEB9">
            <w:pPr>
              <w:keepNext w:val="0"/>
              <w:keepLines w:val="0"/>
              <w:pageBreakBefore w:val="0"/>
              <w:widowControl/>
              <w:wordWrap/>
              <w:overflowPunct/>
              <w:topLinePunct w:val="0"/>
              <w:autoSpaceDE/>
              <w:bidi w:val="0"/>
              <w:jc w:val="center"/>
              <w:rPr>
                <w:rFonts w:hint="eastAsia" w:ascii="宋体" w:hAnsi="宋体" w:eastAsia="宋体"/>
                <w:color w:val="auto"/>
                <w:sz w:val="24"/>
                <w:szCs w:val="24"/>
                <w:lang w:val="zh-CN"/>
              </w:rPr>
            </w:pPr>
            <w:r>
              <w:rPr>
                <w:rFonts w:hint="eastAsia" w:ascii="宋体" w:hAnsi="宋体" w:eastAsia="宋体"/>
                <w:color w:val="auto"/>
                <w:sz w:val="24"/>
                <w:szCs w:val="24"/>
                <w:lang w:val="zh-CN"/>
              </w:rPr>
              <w:t>检测工具</w:t>
            </w:r>
          </w:p>
        </w:tc>
        <w:tc>
          <w:tcPr>
            <w:tcW w:w="3869" w:type="pct"/>
            <w:tcBorders>
              <w:top w:val="single" w:color="auto" w:sz="6" w:space="0"/>
              <w:left w:val="single" w:color="auto" w:sz="6" w:space="0"/>
              <w:bottom w:val="single" w:color="auto" w:sz="6" w:space="0"/>
              <w:right w:val="single" w:color="auto" w:sz="6" w:space="0"/>
              <w:tl2br w:val="nil"/>
              <w:tr2bl w:val="nil"/>
            </w:tcBorders>
            <w:vAlign w:val="center"/>
          </w:tcPr>
          <w:p w14:paraId="7B1F6FAC">
            <w:pPr>
              <w:keepNext w:val="0"/>
              <w:keepLines w:val="0"/>
              <w:pageBreakBefore w:val="0"/>
              <w:widowControl/>
              <w:wordWrap/>
              <w:overflowPunct/>
              <w:topLinePunct w:val="0"/>
              <w:autoSpaceDE/>
              <w:bidi w:val="0"/>
              <w:jc w:val="both"/>
              <w:rPr>
                <w:rFonts w:ascii="宋体" w:hAnsi="宋体" w:eastAsia="宋体" w:cs="宋体"/>
                <w:color w:val="1F2329"/>
                <w:kern w:val="0"/>
                <w:sz w:val="21"/>
                <w:szCs w:val="21"/>
                <w:lang w:val="en-US" w:eastAsia="zh-CN" w:bidi="ar"/>
              </w:rPr>
            </w:pPr>
            <w:r>
              <w:rPr>
                <w:rFonts w:ascii="宋体" w:hAnsi="宋体" w:eastAsia="宋体" w:cs="宋体"/>
                <w:color w:val="1F2329"/>
                <w:kern w:val="0"/>
                <w:sz w:val="21"/>
                <w:szCs w:val="21"/>
                <w:lang w:val="en-US" w:eastAsia="zh-CN" w:bidi="ar"/>
              </w:rPr>
              <w:t>供应商具有网络协议分析、安全合规检测、移动应用安全检测、数据安全测评、基线配置核查、代码审计等测评辅助工具，每提供 1 类得 1 分，本项最高得 6 分。</w:t>
            </w:r>
          </w:p>
          <w:p w14:paraId="24D30142">
            <w:pPr>
              <w:keepNext w:val="0"/>
              <w:keepLines w:val="0"/>
              <w:pageBreakBefore w:val="0"/>
              <w:widowControl/>
              <w:wordWrap/>
              <w:overflowPunct/>
              <w:topLinePunct w:val="0"/>
              <w:autoSpaceDE/>
              <w:bidi w:val="0"/>
              <w:jc w:val="both"/>
              <w:rPr>
                <w:rFonts w:hint="eastAsia" w:ascii="宋体" w:hAnsi="宋体" w:eastAsia="宋体"/>
                <w:color w:val="0D0D0D" w:themeColor="text1" w:themeTint="F2"/>
                <w:sz w:val="21"/>
                <w:szCs w:val="21"/>
                <w:highlight w:val="none"/>
                <w:lang w:val="zh-CN"/>
                <w14:textFill>
                  <w14:solidFill>
                    <w14:schemeClr w14:val="tx1">
                      <w14:lumMod w14:val="95000"/>
                      <w14:lumOff w14:val="5000"/>
                    </w14:schemeClr>
                  </w14:solidFill>
                </w14:textFill>
              </w:rPr>
            </w:pPr>
            <w:r>
              <w:rPr>
                <w:rFonts w:ascii="宋体" w:hAnsi="宋体" w:eastAsia="宋体" w:cs="宋体"/>
                <w:color w:val="1F2329"/>
                <w:kern w:val="0"/>
                <w:sz w:val="21"/>
                <w:szCs w:val="21"/>
                <w:lang w:val="en-US" w:eastAsia="zh-CN" w:bidi="ar"/>
              </w:rPr>
              <w:t>注：工具可为自主开发或采购第三方；自主开发提供软件著作权等证明材料，第三方工具提供采购合同等有效证明材料；仅提供网页截图、产品宣传手册不予计分；复印件或扫描件加盖供应商公章；供应商须提供承诺函，承诺上述工具在本项目测评中实际投入使用，未提供承诺函的此项不得分。</w:t>
            </w:r>
          </w:p>
        </w:tc>
        <w:tc>
          <w:tcPr>
            <w:tcW w:w="390" w:type="pct"/>
            <w:tcBorders>
              <w:top w:val="single" w:color="auto" w:sz="6" w:space="0"/>
              <w:left w:val="single" w:color="auto" w:sz="6" w:space="0"/>
              <w:bottom w:val="single" w:color="auto" w:sz="6" w:space="0"/>
              <w:right w:val="single" w:color="auto" w:sz="6" w:space="0"/>
              <w:tl2br w:val="nil"/>
              <w:tr2bl w:val="nil"/>
            </w:tcBorders>
            <w:vAlign w:val="center"/>
          </w:tcPr>
          <w:p w14:paraId="4DE41352">
            <w:pPr>
              <w:keepNext w:val="0"/>
              <w:keepLines w:val="0"/>
              <w:pageBreakBefore w:val="0"/>
              <w:widowControl/>
              <w:wordWrap/>
              <w:overflowPunct/>
              <w:topLinePunct w:val="0"/>
              <w:autoSpaceDE/>
              <w:bidi w:val="0"/>
              <w:jc w:val="center"/>
              <w:rPr>
                <w:rFonts w:hint="eastAsia" w:ascii="宋体" w:hAnsi="宋体" w:eastAsia="宋体"/>
                <w:color w:val="auto"/>
                <w:sz w:val="24"/>
                <w:szCs w:val="24"/>
                <w:lang w:val="zh-CN"/>
              </w:rPr>
            </w:pPr>
            <w:r>
              <w:rPr>
                <w:rFonts w:hint="eastAsia" w:ascii="宋体" w:hAnsi="宋体" w:eastAsia="宋体"/>
                <w:color w:val="auto"/>
                <w:sz w:val="24"/>
                <w:szCs w:val="24"/>
              </w:rPr>
              <w:t>6</w:t>
            </w:r>
            <w:r>
              <w:rPr>
                <w:rFonts w:hint="eastAsia" w:ascii="宋体" w:hAnsi="宋体" w:eastAsia="宋体"/>
                <w:color w:val="auto"/>
                <w:sz w:val="24"/>
                <w:szCs w:val="24"/>
                <w:lang w:val="zh-CN"/>
              </w:rPr>
              <w:t>分</w:t>
            </w:r>
          </w:p>
        </w:tc>
      </w:tr>
      <w:tr w14:paraId="314D533E">
        <w:tblPrEx>
          <w:tblCellMar>
            <w:top w:w="85" w:type="dxa"/>
            <w:left w:w="85" w:type="dxa"/>
            <w:bottom w:w="85" w:type="dxa"/>
            <w:right w:w="85" w:type="dxa"/>
          </w:tblCellMar>
        </w:tblPrEx>
        <w:tc>
          <w:tcPr>
            <w:tcW w:w="286" w:type="pct"/>
            <w:tcBorders>
              <w:top w:val="single" w:color="auto" w:sz="6" w:space="0"/>
              <w:left w:val="single" w:color="auto" w:sz="6" w:space="0"/>
              <w:bottom w:val="single" w:color="auto" w:sz="6" w:space="0"/>
              <w:right w:val="single" w:color="auto" w:sz="6" w:space="0"/>
              <w:tl2br w:val="nil"/>
              <w:tr2bl w:val="nil"/>
            </w:tcBorders>
            <w:vAlign w:val="center"/>
          </w:tcPr>
          <w:p w14:paraId="69278AE7">
            <w:pPr>
              <w:keepNext w:val="0"/>
              <w:keepLines w:val="0"/>
              <w:pageBreakBefore w:val="0"/>
              <w:widowControl/>
              <w:wordWrap/>
              <w:overflowPunct/>
              <w:topLinePunct w:val="0"/>
              <w:autoSpaceDE/>
              <w:bidi w:val="0"/>
              <w:jc w:val="center"/>
              <w:rPr>
                <w:rFonts w:hint="eastAsia" w:ascii="宋体" w:hAnsi="宋体" w:eastAsia="宋体"/>
                <w:color w:val="auto"/>
                <w:sz w:val="24"/>
                <w:szCs w:val="24"/>
              </w:rPr>
            </w:pPr>
            <w:r>
              <w:rPr>
                <w:rFonts w:hint="eastAsia" w:ascii="宋体" w:hAnsi="宋体" w:eastAsia="宋体"/>
                <w:color w:val="auto"/>
                <w:sz w:val="24"/>
                <w:szCs w:val="24"/>
              </w:rPr>
              <w:t>5</w:t>
            </w:r>
          </w:p>
        </w:tc>
        <w:tc>
          <w:tcPr>
            <w:tcW w:w="453" w:type="pct"/>
            <w:tcBorders>
              <w:top w:val="single" w:color="auto" w:sz="6" w:space="0"/>
              <w:left w:val="single" w:color="auto" w:sz="6" w:space="0"/>
              <w:bottom w:val="single" w:color="auto" w:sz="6" w:space="0"/>
              <w:right w:val="single" w:color="auto" w:sz="6" w:space="0"/>
              <w:tl2br w:val="nil"/>
              <w:tr2bl w:val="nil"/>
            </w:tcBorders>
            <w:vAlign w:val="center"/>
          </w:tcPr>
          <w:p w14:paraId="2D08B568">
            <w:pPr>
              <w:keepNext w:val="0"/>
              <w:keepLines w:val="0"/>
              <w:pageBreakBefore w:val="0"/>
              <w:widowControl/>
              <w:wordWrap/>
              <w:overflowPunct/>
              <w:topLinePunct w:val="0"/>
              <w:autoSpaceDE/>
              <w:bidi w:val="0"/>
              <w:jc w:val="center"/>
              <w:rPr>
                <w:rFonts w:hint="eastAsia" w:ascii="宋体" w:hAnsi="宋体" w:eastAsia="宋体"/>
                <w:color w:val="auto"/>
                <w:sz w:val="24"/>
                <w:szCs w:val="24"/>
                <w:lang w:val="zh-CN"/>
              </w:rPr>
            </w:pPr>
            <w:r>
              <w:rPr>
                <w:rFonts w:hint="eastAsia" w:ascii="宋体" w:hAnsi="宋体" w:eastAsia="宋体"/>
                <w:color w:val="auto"/>
                <w:sz w:val="24"/>
                <w:szCs w:val="24"/>
                <w:lang w:val="zh-CN"/>
              </w:rPr>
              <w:t>服务承诺</w:t>
            </w:r>
          </w:p>
        </w:tc>
        <w:tc>
          <w:tcPr>
            <w:tcW w:w="3869" w:type="pct"/>
            <w:tcBorders>
              <w:top w:val="single" w:color="auto" w:sz="6" w:space="0"/>
              <w:left w:val="single" w:color="auto" w:sz="6" w:space="0"/>
              <w:bottom w:val="single" w:color="auto" w:sz="6" w:space="0"/>
              <w:right w:val="single" w:color="auto" w:sz="6" w:space="0"/>
              <w:tl2br w:val="nil"/>
              <w:tr2bl w:val="nil"/>
            </w:tcBorders>
          </w:tcPr>
          <w:p w14:paraId="10265BDC">
            <w:pPr>
              <w:keepNext w:val="0"/>
              <w:keepLines w:val="0"/>
              <w:pageBreakBefore w:val="0"/>
              <w:widowControl/>
              <w:numPr>
                <w:ilvl w:val="0"/>
                <w:numId w:val="3"/>
              </w:numPr>
              <w:kinsoku/>
              <w:wordWrap/>
              <w:overflowPunct/>
              <w:topLinePunct w:val="0"/>
              <w:autoSpaceDE/>
              <w:autoSpaceDN/>
              <w:bidi w:val="0"/>
              <w:adjustRightInd/>
              <w:snapToGrid/>
              <w:jc w:val="both"/>
              <w:textAlignment w:val="auto"/>
              <w:rPr>
                <w:rFonts w:hint="eastAsia" w:ascii="宋体" w:hAnsi="宋体" w:eastAsia="宋体"/>
                <w:color w:val="auto"/>
                <w:sz w:val="21"/>
                <w:szCs w:val="21"/>
                <w:lang w:val="zh-CN"/>
              </w:rPr>
            </w:pPr>
            <w:r>
              <w:rPr>
                <w:rFonts w:hint="eastAsia" w:ascii="宋体" w:hAnsi="宋体" w:eastAsia="宋体"/>
                <w:color w:val="auto"/>
                <w:sz w:val="21"/>
                <w:szCs w:val="21"/>
                <w:lang w:val="zh-CN"/>
              </w:rPr>
              <w:t>严格遵守网络安全、数据安全相关法律法规，妥善保管采购人系统敏感数据，提供承诺函得 2 分；</w:t>
            </w:r>
          </w:p>
          <w:p w14:paraId="005621D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olor w:val="auto"/>
                <w:sz w:val="21"/>
                <w:szCs w:val="21"/>
                <w:lang w:val="zh-CN"/>
              </w:rPr>
            </w:pPr>
            <w:r>
              <w:rPr>
                <w:rFonts w:hint="eastAsia" w:ascii="宋体" w:hAnsi="宋体" w:eastAsia="宋体"/>
                <w:color w:val="auto"/>
                <w:sz w:val="21"/>
                <w:szCs w:val="21"/>
                <w:lang w:val="zh-CN"/>
              </w:rPr>
              <w:t>2. 承诺出具的等保测评报告满足监管报送要求，报告提交监管首次审核不通过提供免费复测服务（测评机构不承担采购人信息系统安全整改实施工作；因采购人信息系统未完成安全整改造成报告审核不通过除外），提供承诺函得 3 分。</w:t>
            </w:r>
          </w:p>
        </w:tc>
        <w:tc>
          <w:tcPr>
            <w:tcW w:w="390" w:type="pct"/>
            <w:tcBorders>
              <w:top w:val="single" w:color="auto" w:sz="6" w:space="0"/>
              <w:left w:val="single" w:color="auto" w:sz="6" w:space="0"/>
              <w:bottom w:val="single" w:color="auto" w:sz="6" w:space="0"/>
              <w:right w:val="single" w:color="auto" w:sz="6" w:space="0"/>
              <w:tl2br w:val="nil"/>
              <w:tr2bl w:val="nil"/>
            </w:tcBorders>
            <w:vAlign w:val="center"/>
          </w:tcPr>
          <w:p w14:paraId="035D6737">
            <w:pPr>
              <w:keepNext w:val="0"/>
              <w:keepLines w:val="0"/>
              <w:pageBreakBefore w:val="0"/>
              <w:widowControl/>
              <w:wordWrap/>
              <w:overflowPunct/>
              <w:topLinePunct w:val="0"/>
              <w:autoSpaceDE/>
              <w:bidi w:val="0"/>
              <w:jc w:val="center"/>
              <w:rPr>
                <w:rFonts w:hint="eastAsia" w:ascii="宋体" w:hAnsi="宋体" w:eastAsia="宋体"/>
                <w:color w:val="auto"/>
                <w:sz w:val="24"/>
                <w:szCs w:val="24"/>
                <w:lang w:val="zh-CN"/>
              </w:rPr>
            </w:pPr>
            <w:r>
              <w:rPr>
                <w:rFonts w:hint="eastAsia" w:ascii="宋体" w:hAnsi="宋体" w:eastAsia="宋体"/>
                <w:color w:val="auto"/>
                <w:sz w:val="24"/>
                <w:szCs w:val="24"/>
              </w:rPr>
              <w:t>5分</w:t>
            </w:r>
          </w:p>
        </w:tc>
      </w:tr>
    </w:tbl>
    <w:p w14:paraId="7E7F4474">
      <w:pPr>
        <w:spacing w:after="120" w:line="360" w:lineRule="auto"/>
        <w:rPr>
          <w:rFonts w:hint="eastAsia" w:ascii="宋体" w:hAnsi="宋体" w:eastAsia="宋体"/>
          <w:b/>
          <w:color w:val="auto"/>
          <w:sz w:val="24"/>
          <w:szCs w:val="24"/>
          <w:lang w:val="zh-CN"/>
        </w:rPr>
      </w:pPr>
      <w:r>
        <w:rPr>
          <w:rFonts w:hint="eastAsia" w:ascii="宋体" w:hAnsi="宋体" w:eastAsia="宋体"/>
          <w:b/>
          <w:color w:val="auto"/>
          <w:sz w:val="24"/>
          <w:szCs w:val="24"/>
          <w:lang w:val="zh-CN"/>
        </w:rPr>
        <w:t>（</w:t>
      </w:r>
      <w:r>
        <w:rPr>
          <w:rFonts w:hint="eastAsia" w:ascii="宋体" w:hAnsi="宋体" w:eastAsia="宋体"/>
          <w:b/>
          <w:color w:val="auto"/>
          <w:sz w:val="24"/>
          <w:szCs w:val="24"/>
          <w:lang w:val="en-US" w:eastAsia="zh-CN"/>
        </w:rPr>
        <w:t>2</w:t>
      </w:r>
      <w:r>
        <w:rPr>
          <w:rFonts w:hint="eastAsia" w:ascii="宋体" w:hAnsi="宋体" w:eastAsia="宋体"/>
          <w:b/>
          <w:color w:val="auto"/>
          <w:sz w:val="24"/>
          <w:szCs w:val="24"/>
          <w:lang w:val="zh-CN"/>
        </w:rPr>
        <w:t>）技术评审（</w:t>
      </w:r>
      <w:r>
        <w:rPr>
          <w:rFonts w:hint="eastAsia" w:ascii="宋体" w:hAnsi="宋体" w:eastAsia="宋体"/>
          <w:b/>
          <w:color w:val="auto"/>
          <w:sz w:val="24"/>
          <w:szCs w:val="24"/>
        </w:rPr>
        <w:t>3</w:t>
      </w:r>
      <w:r>
        <w:rPr>
          <w:rFonts w:hint="eastAsia" w:ascii="宋体" w:hAnsi="宋体" w:eastAsia="宋体"/>
          <w:b/>
          <w:color w:val="auto"/>
          <w:sz w:val="24"/>
          <w:szCs w:val="24"/>
          <w:lang w:val="en-US" w:eastAsia="zh-CN"/>
        </w:rPr>
        <w:t>8</w:t>
      </w:r>
      <w:r>
        <w:rPr>
          <w:rFonts w:hint="eastAsia" w:ascii="宋体" w:hAnsi="宋体" w:eastAsia="宋体"/>
          <w:b/>
          <w:color w:val="auto"/>
          <w:sz w:val="24"/>
          <w:szCs w:val="24"/>
        </w:rPr>
        <w:t>分</w:t>
      </w:r>
      <w:r>
        <w:rPr>
          <w:rFonts w:hint="eastAsia" w:ascii="宋体" w:hAnsi="宋体" w:eastAsia="宋体"/>
          <w:b/>
          <w:color w:val="auto"/>
          <w:sz w:val="24"/>
          <w:szCs w:val="24"/>
          <w:lang w:val="zh-CN"/>
        </w:rPr>
        <w:t>）</w:t>
      </w:r>
    </w:p>
    <w:tbl>
      <w:tblPr>
        <w:tblStyle w:val="13"/>
        <w:tblW w:w="521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0"/>
        <w:gridCol w:w="889"/>
        <w:gridCol w:w="7263"/>
        <w:gridCol w:w="747"/>
      </w:tblGrid>
      <w:tr w14:paraId="4B418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291" w:type="pct"/>
            <w:vAlign w:val="center"/>
          </w:tcPr>
          <w:p w14:paraId="7372025F">
            <w:pPr>
              <w:widowControl w:val="0"/>
              <w:spacing w:line="400" w:lineRule="exact"/>
              <w:jc w:val="center"/>
              <w:rPr>
                <w:rFonts w:hint="eastAsia" w:ascii="宋体" w:hAnsi="宋体" w:eastAsia="宋体"/>
                <w:b/>
                <w:bCs/>
                <w:color w:val="auto"/>
              </w:rPr>
            </w:pPr>
            <w:r>
              <w:rPr>
                <w:rFonts w:hint="eastAsia" w:ascii="宋体" w:hAnsi="宋体" w:eastAsia="宋体"/>
                <w:b/>
                <w:bCs/>
                <w:color w:val="auto"/>
                <w:sz w:val="24"/>
                <w:szCs w:val="24"/>
                <w:lang w:val="zh-CN"/>
              </w:rPr>
              <w:t>序号</w:t>
            </w:r>
          </w:p>
        </w:tc>
        <w:tc>
          <w:tcPr>
            <w:tcW w:w="470" w:type="pct"/>
            <w:vAlign w:val="center"/>
          </w:tcPr>
          <w:p w14:paraId="77D1F237">
            <w:pPr>
              <w:widowControl w:val="0"/>
              <w:spacing w:line="400" w:lineRule="exact"/>
              <w:jc w:val="center"/>
              <w:rPr>
                <w:rFonts w:hint="eastAsia" w:ascii="宋体" w:hAnsi="宋体" w:eastAsia="宋体"/>
                <w:b/>
                <w:bCs/>
                <w:color w:val="auto"/>
              </w:rPr>
            </w:pPr>
            <w:r>
              <w:rPr>
                <w:rFonts w:hint="eastAsia" w:ascii="宋体" w:hAnsi="宋体" w:eastAsia="宋体"/>
                <w:b/>
                <w:bCs/>
                <w:color w:val="auto"/>
                <w:sz w:val="24"/>
                <w:szCs w:val="24"/>
                <w:lang w:val="zh-CN"/>
              </w:rPr>
              <w:t>评审因素</w:t>
            </w:r>
          </w:p>
        </w:tc>
        <w:tc>
          <w:tcPr>
            <w:tcW w:w="3841" w:type="pct"/>
            <w:vAlign w:val="center"/>
          </w:tcPr>
          <w:p w14:paraId="4C4623FD">
            <w:pPr>
              <w:widowControl w:val="0"/>
              <w:spacing w:line="400" w:lineRule="exact"/>
              <w:jc w:val="center"/>
              <w:rPr>
                <w:rFonts w:hint="eastAsia" w:ascii="宋体" w:hAnsi="宋体" w:eastAsia="宋体"/>
                <w:b/>
                <w:bCs/>
                <w:color w:val="auto"/>
              </w:rPr>
            </w:pPr>
            <w:r>
              <w:rPr>
                <w:rFonts w:hint="eastAsia" w:ascii="宋体" w:hAnsi="宋体" w:eastAsia="宋体"/>
                <w:b/>
                <w:bCs/>
                <w:color w:val="auto"/>
                <w:sz w:val="24"/>
                <w:szCs w:val="24"/>
                <w:lang w:val="zh-CN"/>
              </w:rPr>
              <w:t>评审标准</w:t>
            </w:r>
          </w:p>
        </w:tc>
        <w:tc>
          <w:tcPr>
            <w:tcW w:w="395" w:type="pct"/>
            <w:vAlign w:val="center"/>
          </w:tcPr>
          <w:p w14:paraId="39DF6C10">
            <w:pPr>
              <w:widowControl w:val="0"/>
              <w:spacing w:line="400" w:lineRule="exact"/>
              <w:jc w:val="center"/>
              <w:rPr>
                <w:rFonts w:hint="eastAsia" w:ascii="宋体" w:hAnsi="宋体" w:eastAsia="宋体"/>
                <w:b/>
                <w:bCs/>
                <w:color w:val="auto"/>
              </w:rPr>
            </w:pPr>
            <w:r>
              <w:rPr>
                <w:rFonts w:hint="eastAsia" w:ascii="宋体" w:hAnsi="宋体" w:eastAsia="宋体"/>
                <w:b/>
                <w:bCs/>
                <w:color w:val="auto"/>
                <w:sz w:val="24"/>
                <w:szCs w:val="24"/>
                <w:lang w:val="zh-CN"/>
              </w:rPr>
              <w:t>分值</w:t>
            </w:r>
          </w:p>
        </w:tc>
      </w:tr>
      <w:tr w14:paraId="434F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vAlign w:val="center"/>
          </w:tcPr>
          <w:p w14:paraId="2B429B0E">
            <w:pPr>
              <w:widowControl w:val="0"/>
              <w:jc w:val="center"/>
              <w:rPr>
                <w:rFonts w:hint="eastAsia" w:ascii="宋体" w:hAnsi="宋体" w:eastAsia="宋体"/>
                <w:color w:val="auto"/>
              </w:rPr>
            </w:pPr>
            <w:bookmarkStart w:id="3" w:name="_Hlk226468743"/>
            <w:r>
              <w:rPr>
                <w:rFonts w:hint="eastAsia" w:ascii="宋体" w:hAnsi="宋体" w:eastAsia="宋体"/>
                <w:color w:val="auto"/>
              </w:rPr>
              <w:t>1</w:t>
            </w:r>
          </w:p>
        </w:tc>
        <w:tc>
          <w:tcPr>
            <w:tcW w:w="470" w:type="pct"/>
            <w:vAlign w:val="center"/>
          </w:tcPr>
          <w:p w14:paraId="3543399C">
            <w:pPr>
              <w:widowControl w:val="0"/>
              <w:jc w:val="center"/>
              <w:rPr>
                <w:rFonts w:hint="eastAsia" w:ascii="宋体" w:hAnsi="宋体" w:eastAsia="宋体"/>
                <w:color w:val="auto"/>
              </w:rPr>
            </w:pPr>
            <w:r>
              <w:rPr>
                <w:rFonts w:hint="eastAsia" w:ascii="宋体" w:hAnsi="宋体" w:eastAsia="宋体"/>
                <w:color w:val="auto"/>
                <w:sz w:val="24"/>
                <w:szCs w:val="24"/>
                <w:lang w:val="zh-CN"/>
              </w:rPr>
              <w:t>项目理解及需求分析</w:t>
            </w:r>
          </w:p>
        </w:tc>
        <w:tc>
          <w:tcPr>
            <w:tcW w:w="3841" w:type="pct"/>
          </w:tcPr>
          <w:p w14:paraId="47B1B41B">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rPr>
              <w:t>对项目背景、项目目标、项目范围、重难点分析、项目需求，结合医院信息系统业务特点进行综合评审：</w:t>
            </w:r>
          </w:p>
          <w:p w14:paraId="4BFDB1EA">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lang w:val="en-US" w:eastAsia="zh-CN"/>
              </w:rPr>
              <w:t>1.</w:t>
            </w:r>
            <w:r>
              <w:rPr>
                <w:rFonts w:hint="eastAsia" w:ascii="宋体" w:hAnsi="宋体" w:eastAsia="宋体"/>
                <w:color w:val="auto"/>
                <w:sz w:val="21"/>
                <w:szCs w:val="21"/>
              </w:rPr>
              <w:t>对项目理解透彻，需求分析内容合理、科学、可行性强，充分考虑医疗业务连续性与患者数据安全，得 9</w:t>
            </w:r>
            <w:r>
              <w:rPr>
                <w:rFonts w:hint="eastAsia" w:ascii="宋体" w:hAnsi="宋体" w:eastAsia="宋体"/>
                <w:color w:val="auto"/>
                <w:sz w:val="21"/>
                <w:szCs w:val="21"/>
              </w:rPr>
              <w:noBreakHyphen/>
            </w:r>
            <w:r>
              <w:rPr>
                <w:rFonts w:hint="eastAsia" w:ascii="宋体" w:hAnsi="宋体" w:eastAsia="宋体"/>
                <w:color w:val="auto"/>
                <w:sz w:val="21"/>
                <w:szCs w:val="21"/>
              </w:rPr>
              <w:t>10 分；</w:t>
            </w:r>
          </w:p>
          <w:p w14:paraId="43069CA5">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lang w:val="en-US" w:eastAsia="zh-CN"/>
              </w:rPr>
              <w:t>2.</w:t>
            </w:r>
            <w:r>
              <w:rPr>
                <w:rFonts w:hint="eastAsia" w:ascii="宋体" w:hAnsi="宋体" w:eastAsia="宋体"/>
                <w:color w:val="auto"/>
                <w:sz w:val="21"/>
                <w:szCs w:val="21"/>
              </w:rPr>
              <w:t>对项目理解基本透彻，需求分析内容基本合理、基本科学、具有一定可行性的，得5</w:t>
            </w:r>
            <w:r>
              <w:rPr>
                <w:rFonts w:hint="eastAsia" w:ascii="宋体" w:hAnsi="宋体" w:eastAsia="宋体"/>
                <w:color w:val="auto"/>
                <w:sz w:val="21"/>
                <w:szCs w:val="21"/>
              </w:rPr>
              <w:noBreakHyphen/>
            </w:r>
            <w:r>
              <w:rPr>
                <w:rFonts w:hint="eastAsia" w:ascii="宋体" w:hAnsi="宋体" w:eastAsia="宋体"/>
                <w:color w:val="auto"/>
                <w:sz w:val="21"/>
                <w:szCs w:val="21"/>
              </w:rPr>
              <w:t>8分；</w:t>
            </w:r>
          </w:p>
          <w:p w14:paraId="0555DABC">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rPr>
              <w:t>3.对项目理解不够透彻，需求分析内容不够合理、不够科学、可行性较差的，得1</w:t>
            </w:r>
            <w:r>
              <w:rPr>
                <w:rFonts w:hint="eastAsia" w:ascii="宋体" w:hAnsi="宋体" w:eastAsia="宋体"/>
                <w:color w:val="auto"/>
                <w:sz w:val="21"/>
                <w:szCs w:val="21"/>
              </w:rPr>
              <w:noBreakHyphen/>
            </w:r>
            <w:r>
              <w:rPr>
                <w:rFonts w:hint="eastAsia" w:ascii="宋体" w:hAnsi="宋体" w:eastAsia="宋体"/>
                <w:color w:val="auto"/>
                <w:sz w:val="21"/>
                <w:szCs w:val="21"/>
              </w:rPr>
              <w:t>4分；其他或无响应内容，得0分。</w:t>
            </w:r>
          </w:p>
        </w:tc>
        <w:tc>
          <w:tcPr>
            <w:tcW w:w="395" w:type="pct"/>
            <w:vAlign w:val="center"/>
          </w:tcPr>
          <w:p w14:paraId="49B51764">
            <w:pPr>
              <w:widowControl/>
              <w:kinsoku/>
              <w:autoSpaceDE/>
              <w:autoSpaceDN/>
              <w:adjustRightInd/>
              <w:snapToGrid/>
              <w:jc w:val="center"/>
              <w:textAlignment w:val="auto"/>
              <w:rPr>
                <w:rFonts w:hint="eastAsia" w:ascii="宋体" w:hAnsi="宋体" w:eastAsia="宋体"/>
                <w:color w:val="auto"/>
                <w:sz w:val="24"/>
                <w:szCs w:val="24"/>
              </w:rPr>
            </w:pPr>
            <w:r>
              <w:rPr>
                <w:rFonts w:hint="eastAsia" w:ascii="宋体" w:hAnsi="宋体" w:eastAsia="宋体"/>
                <w:color w:val="auto"/>
                <w:sz w:val="24"/>
                <w:szCs w:val="24"/>
                <w:lang w:val="en-US" w:eastAsia="zh-CN"/>
              </w:rPr>
              <w:t>10</w:t>
            </w:r>
            <w:r>
              <w:rPr>
                <w:rFonts w:hint="eastAsia" w:ascii="宋体" w:hAnsi="宋体" w:eastAsia="宋体"/>
                <w:color w:val="auto"/>
                <w:sz w:val="24"/>
                <w:szCs w:val="24"/>
              </w:rPr>
              <w:t>分</w:t>
            </w:r>
          </w:p>
        </w:tc>
      </w:tr>
      <w:bookmarkEnd w:id="3"/>
      <w:tr w14:paraId="3A71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vAlign w:val="center"/>
          </w:tcPr>
          <w:p w14:paraId="5279B522">
            <w:pPr>
              <w:widowControl w:val="0"/>
              <w:jc w:val="center"/>
              <w:rPr>
                <w:rFonts w:hint="eastAsia" w:ascii="宋体" w:hAnsi="宋体" w:eastAsia="宋体"/>
                <w:color w:val="auto"/>
              </w:rPr>
            </w:pPr>
            <w:r>
              <w:rPr>
                <w:rFonts w:hint="eastAsia" w:ascii="宋体" w:hAnsi="宋体" w:eastAsia="宋体"/>
                <w:color w:val="auto"/>
              </w:rPr>
              <w:t>2</w:t>
            </w:r>
          </w:p>
        </w:tc>
        <w:tc>
          <w:tcPr>
            <w:tcW w:w="470" w:type="pct"/>
            <w:vAlign w:val="center"/>
          </w:tcPr>
          <w:p w14:paraId="2226C3AD">
            <w:pPr>
              <w:widowControl w:val="0"/>
              <w:jc w:val="center"/>
              <w:rPr>
                <w:rFonts w:hint="eastAsia" w:ascii="宋体" w:hAnsi="宋体" w:eastAsia="宋体"/>
                <w:color w:val="auto"/>
                <w:sz w:val="24"/>
                <w:szCs w:val="24"/>
                <w:lang w:val="zh-CN"/>
              </w:rPr>
            </w:pPr>
            <w:r>
              <w:rPr>
                <w:rFonts w:hint="eastAsia" w:ascii="宋体" w:hAnsi="宋体" w:eastAsia="宋体"/>
                <w:color w:val="auto"/>
                <w:sz w:val="24"/>
                <w:szCs w:val="24"/>
                <w:lang w:val="zh-CN"/>
              </w:rPr>
              <w:t>项目测评方案</w:t>
            </w:r>
          </w:p>
        </w:tc>
        <w:tc>
          <w:tcPr>
            <w:tcW w:w="3841" w:type="pct"/>
          </w:tcPr>
          <w:p w14:paraId="1C1BE2C5">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rPr>
              <w:t>对项目范围、项目流程、工作内容、测评指标、测评工具、报告编制步骤等内容进行综合评审：</w:t>
            </w:r>
          </w:p>
          <w:p w14:paraId="30FD072B">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lang w:val="en-US" w:eastAsia="zh-CN"/>
              </w:rPr>
              <w:t>1.</w:t>
            </w:r>
            <w:r>
              <w:rPr>
                <w:rFonts w:hint="eastAsia" w:ascii="宋体" w:hAnsi="宋体" w:eastAsia="宋体"/>
                <w:color w:val="auto"/>
                <w:sz w:val="21"/>
                <w:szCs w:val="21"/>
              </w:rPr>
              <w:t>方案详细完整、科学合理、可行性高；测评对象覆盖本项目全部二级、三级系统，测评内容覆盖安全物理环境、安全通信网络、安全区域边界、安全计算环境、安全管理中心、安全管理制度、安全管理机构、安全管理人员、安全建设管理、安全运维管理十个方面；充分考虑医院 7×24 小时业务不间断运行，测评作业不得干扰 HIS、电子病历、医保结算等核心业务；测评流程、实施步骤、时间计划、人员分工、输出物清单明确，符合 GB/T22239</w:t>
            </w:r>
            <w:r>
              <w:rPr>
                <w:rFonts w:hint="eastAsia" w:ascii="宋体" w:hAnsi="宋体" w:eastAsia="宋体"/>
                <w:color w:val="auto"/>
                <w:sz w:val="21"/>
                <w:szCs w:val="21"/>
              </w:rPr>
              <w:noBreakHyphen/>
            </w:r>
            <w:r>
              <w:rPr>
                <w:rFonts w:hint="eastAsia" w:ascii="宋体" w:hAnsi="宋体" w:eastAsia="宋体"/>
                <w:color w:val="auto"/>
                <w:sz w:val="21"/>
                <w:szCs w:val="21"/>
              </w:rPr>
              <w:t>2019、GB/T28448</w:t>
            </w:r>
            <w:r>
              <w:rPr>
                <w:rFonts w:hint="eastAsia" w:ascii="宋体" w:hAnsi="宋体" w:eastAsia="宋体"/>
                <w:color w:val="auto"/>
                <w:sz w:val="21"/>
                <w:szCs w:val="21"/>
              </w:rPr>
              <w:noBreakHyphen/>
            </w:r>
            <w:r>
              <w:rPr>
                <w:rFonts w:hint="eastAsia" w:ascii="宋体" w:hAnsi="宋体" w:eastAsia="宋体"/>
                <w:color w:val="auto"/>
                <w:sz w:val="21"/>
                <w:szCs w:val="21"/>
              </w:rPr>
              <w:t>2019 等标准要求的，得 14</w:t>
            </w:r>
            <w:r>
              <w:rPr>
                <w:rFonts w:hint="eastAsia" w:ascii="宋体" w:hAnsi="宋体" w:eastAsia="宋体"/>
                <w:color w:val="auto"/>
                <w:sz w:val="21"/>
                <w:szCs w:val="21"/>
              </w:rPr>
              <w:noBreakHyphen/>
            </w:r>
            <w:r>
              <w:rPr>
                <w:rFonts w:hint="eastAsia" w:ascii="宋体" w:hAnsi="宋体" w:eastAsia="宋体"/>
                <w:color w:val="auto"/>
                <w:sz w:val="21"/>
                <w:szCs w:val="21"/>
              </w:rPr>
              <w:t>16 分；</w:t>
            </w:r>
          </w:p>
          <w:p w14:paraId="780DFE07">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lang w:val="en-US" w:eastAsia="zh-CN"/>
              </w:rPr>
              <w:t>2.</w:t>
            </w:r>
            <w:r>
              <w:rPr>
                <w:rFonts w:hint="eastAsia" w:ascii="宋体" w:hAnsi="宋体" w:eastAsia="宋体"/>
                <w:color w:val="auto"/>
                <w:sz w:val="21"/>
                <w:szCs w:val="21"/>
              </w:rPr>
              <w:t>方案较完整，测评对象覆盖较全，但医疗业务场景适配不足或部分细节描述简略的，得 9</w:t>
            </w:r>
            <w:r>
              <w:rPr>
                <w:rFonts w:hint="eastAsia" w:ascii="宋体" w:hAnsi="宋体" w:eastAsia="宋体"/>
                <w:color w:val="auto"/>
                <w:sz w:val="21"/>
                <w:szCs w:val="21"/>
              </w:rPr>
              <w:noBreakHyphen/>
            </w:r>
            <w:r>
              <w:rPr>
                <w:rFonts w:hint="eastAsia" w:ascii="宋体" w:hAnsi="宋体" w:eastAsia="宋体"/>
                <w:color w:val="auto"/>
                <w:sz w:val="21"/>
                <w:szCs w:val="21"/>
              </w:rPr>
              <w:t>13 分；</w:t>
            </w:r>
          </w:p>
          <w:p w14:paraId="3FBE8255">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rPr>
              <w:t>3.方案基本完整，测评范围有遗漏，流程描述不够清晰的，得 4</w:t>
            </w:r>
            <w:r>
              <w:rPr>
                <w:rFonts w:hint="eastAsia" w:ascii="宋体" w:hAnsi="宋体" w:eastAsia="宋体"/>
                <w:color w:val="auto"/>
                <w:sz w:val="21"/>
                <w:szCs w:val="21"/>
              </w:rPr>
              <w:noBreakHyphen/>
            </w:r>
            <w:r>
              <w:rPr>
                <w:rFonts w:hint="eastAsia" w:ascii="宋体" w:hAnsi="宋体" w:eastAsia="宋体"/>
                <w:color w:val="auto"/>
                <w:sz w:val="21"/>
                <w:szCs w:val="21"/>
              </w:rPr>
              <w:t>8 分；</w:t>
            </w:r>
          </w:p>
          <w:p w14:paraId="5D7C7A03">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rPr>
              <w:t>4.方案简略，测评范围不清或与本项目不匹配的，得 1</w:t>
            </w:r>
            <w:r>
              <w:rPr>
                <w:rFonts w:hint="eastAsia" w:ascii="宋体" w:hAnsi="宋体" w:eastAsia="宋体"/>
                <w:color w:val="auto"/>
                <w:sz w:val="21"/>
                <w:szCs w:val="21"/>
              </w:rPr>
              <w:noBreakHyphen/>
            </w:r>
            <w:r>
              <w:rPr>
                <w:rFonts w:hint="eastAsia" w:ascii="宋体" w:hAnsi="宋体" w:eastAsia="宋体"/>
                <w:color w:val="auto"/>
                <w:sz w:val="21"/>
                <w:szCs w:val="21"/>
              </w:rPr>
              <w:t>3 分；其他或无响应内容，得 0 分。</w:t>
            </w:r>
          </w:p>
        </w:tc>
        <w:tc>
          <w:tcPr>
            <w:tcW w:w="395" w:type="pct"/>
            <w:vAlign w:val="center"/>
          </w:tcPr>
          <w:p w14:paraId="0B619A83">
            <w:pPr>
              <w:widowControl/>
              <w:kinsoku/>
              <w:autoSpaceDE/>
              <w:autoSpaceDN/>
              <w:adjustRightInd/>
              <w:snapToGrid/>
              <w:jc w:val="center"/>
              <w:textAlignment w:val="auto"/>
              <w:rPr>
                <w:rFonts w:hint="eastAsia" w:ascii="宋体" w:hAnsi="宋体" w:eastAsia="宋体"/>
                <w:color w:val="auto"/>
                <w:sz w:val="24"/>
                <w:szCs w:val="24"/>
              </w:rPr>
            </w:pPr>
            <w:r>
              <w:rPr>
                <w:rFonts w:hint="eastAsia" w:ascii="宋体" w:hAnsi="宋体" w:eastAsia="宋体"/>
                <w:color w:val="auto"/>
                <w:sz w:val="24"/>
                <w:szCs w:val="24"/>
                <w:lang w:val="en-US" w:eastAsia="zh-CN"/>
              </w:rPr>
              <w:t>16</w:t>
            </w:r>
            <w:r>
              <w:rPr>
                <w:rFonts w:hint="eastAsia" w:ascii="宋体" w:hAnsi="宋体" w:eastAsia="宋体"/>
                <w:color w:val="auto"/>
                <w:sz w:val="24"/>
                <w:szCs w:val="24"/>
              </w:rPr>
              <w:t>分</w:t>
            </w:r>
          </w:p>
        </w:tc>
      </w:tr>
      <w:tr w14:paraId="164A4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vAlign w:val="center"/>
          </w:tcPr>
          <w:p w14:paraId="2727A432">
            <w:pPr>
              <w:widowControl w:val="0"/>
              <w:jc w:val="center"/>
              <w:rPr>
                <w:rFonts w:hint="eastAsia" w:ascii="宋体" w:hAnsi="宋体" w:eastAsia="宋体"/>
                <w:color w:val="auto"/>
              </w:rPr>
            </w:pPr>
            <w:r>
              <w:rPr>
                <w:rFonts w:hint="eastAsia" w:ascii="宋体" w:hAnsi="宋体" w:eastAsia="宋体"/>
                <w:color w:val="auto"/>
              </w:rPr>
              <w:t>3</w:t>
            </w:r>
          </w:p>
        </w:tc>
        <w:tc>
          <w:tcPr>
            <w:tcW w:w="470" w:type="pct"/>
            <w:vAlign w:val="center"/>
          </w:tcPr>
          <w:p w14:paraId="36D2CA49">
            <w:pPr>
              <w:widowControl w:val="0"/>
              <w:jc w:val="center"/>
              <w:rPr>
                <w:rFonts w:hint="eastAsia" w:ascii="宋体" w:hAnsi="宋体" w:eastAsia="宋体"/>
                <w:color w:val="auto"/>
                <w:sz w:val="24"/>
                <w:szCs w:val="24"/>
                <w:lang w:val="zh-CN"/>
              </w:rPr>
            </w:pPr>
            <w:r>
              <w:rPr>
                <w:rFonts w:hint="eastAsia" w:ascii="宋体" w:hAnsi="宋体" w:eastAsia="宋体"/>
                <w:color w:val="auto"/>
                <w:sz w:val="24"/>
                <w:szCs w:val="24"/>
                <w:lang w:val="zh-CN"/>
              </w:rPr>
              <w:t>项目管理方案</w:t>
            </w:r>
          </w:p>
        </w:tc>
        <w:tc>
          <w:tcPr>
            <w:tcW w:w="3841" w:type="pct"/>
          </w:tcPr>
          <w:p w14:paraId="66E21BCD">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rPr>
              <w:t>对项目组织、项目进度、质量保障、安全保密措施、风险管理、应急保障、项目验收等内容进行综合评审：</w:t>
            </w:r>
          </w:p>
          <w:p w14:paraId="00F85AEA">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lang w:val="en-US" w:eastAsia="zh-CN"/>
              </w:rPr>
              <w:t>1.</w:t>
            </w:r>
            <w:r>
              <w:rPr>
                <w:rFonts w:hint="eastAsia" w:ascii="宋体" w:hAnsi="宋体" w:eastAsia="宋体"/>
                <w:color w:val="auto"/>
                <w:sz w:val="21"/>
                <w:szCs w:val="21"/>
              </w:rPr>
              <w:t>方案详细完整、科学合理、可行性高，各项内容完善且可落地，针对医疗数据保密、测评过程风险管控有专项措施，得 10</w:t>
            </w:r>
            <w:r>
              <w:rPr>
                <w:rFonts w:hint="eastAsia" w:ascii="宋体" w:hAnsi="宋体" w:eastAsia="宋体"/>
                <w:color w:val="auto"/>
                <w:sz w:val="21"/>
                <w:szCs w:val="21"/>
              </w:rPr>
              <w:noBreakHyphen/>
            </w:r>
            <w:r>
              <w:rPr>
                <w:rFonts w:hint="eastAsia" w:ascii="宋体" w:hAnsi="宋体" w:eastAsia="宋体"/>
                <w:color w:val="auto"/>
                <w:sz w:val="21"/>
                <w:szCs w:val="21"/>
              </w:rPr>
              <w:t>12 分；</w:t>
            </w:r>
          </w:p>
          <w:p w14:paraId="3D1A8B54">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rPr>
            </w:pPr>
            <w:r>
              <w:rPr>
                <w:rFonts w:hint="eastAsia" w:ascii="宋体" w:hAnsi="宋体" w:eastAsia="宋体"/>
                <w:color w:val="auto"/>
                <w:sz w:val="21"/>
                <w:szCs w:val="21"/>
                <w:lang w:val="en-US" w:eastAsia="zh-CN"/>
              </w:rPr>
              <w:t>2.</w:t>
            </w:r>
            <w:r>
              <w:rPr>
                <w:rFonts w:hint="eastAsia" w:ascii="宋体" w:hAnsi="宋体" w:eastAsia="宋体"/>
                <w:color w:val="auto"/>
                <w:sz w:val="21"/>
                <w:szCs w:val="21"/>
              </w:rPr>
              <w:t>方案基本详细完整、基本科学合理，具有一定可行性的，得 5</w:t>
            </w:r>
            <w:r>
              <w:rPr>
                <w:rFonts w:hint="eastAsia" w:ascii="宋体" w:hAnsi="宋体" w:eastAsia="宋体"/>
                <w:color w:val="auto"/>
                <w:sz w:val="21"/>
                <w:szCs w:val="21"/>
              </w:rPr>
              <w:noBreakHyphen/>
            </w:r>
            <w:r>
              <w:rPr>
                <w:rFonts w:hint="eastAsia" w:ascii="宋体" w:hAnsi="宋体" w:eastAsia="宋体"/>
                <w:color w:val="auto"/>
                <w:sz w:val="21"/>
                <w:szCs w:val="21"/>
              </w:rPr>
              <w:t>9 分；</w:t>
            </w:r>
          </w:p>
          <w:p w14:paraId="69DD921B">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4"/>
                <w:szCs w:val="24"/>
              </w:rPr>
            </w:pPr>
            <w:r>
              <w:rPr>
                <w:rFonts w:hint="eastAsia" w:ascii="宋体" w:hAnsi="宋体" w:eastAsia="宋体"/>
                <w:color w:val="auto"/>
                <w:sz w:val="21"/>
                <w:szCs w:val="21"/>
              </w:rPr>
              <w:t>3.方案不够详细完整、不够科学合理，可行性较差的，得 1</w:t>
            </w:r>
            <w:r>
              <w:rPr>
                <w:rFonts w:hint="eastAsia" w:ascii="宋体" w:hAnsi="宋体" w:eastAsia="宋体"/>
                <w:color w:val="auto"/>
                <w:sz w:val="21"/>
                <w:szCs w:val="21"/>
              </w:rPr>
              <w:noBreakHyphen/>
            </w:r>
            <w:r>
              <w:rPr>
                <w:rFonts w:hint="eastAsia" w:ascii="宋体" w:hAnsi="宋体" w:eastAsia="宋体"/>
                <w:color w:val="auto"/>
                <w:sz w:val="21"/>
                <w:szCs w:val="21"/>
              </w:rPr>
              <w:t>4 分；其他或无响应内容，得 0 分。</w:t>
            </w:r>
          </w:p>
        </w:tc>
        <w:tc>
          <w:tcPr>
            <w:tcW w:w="395" w:type="pct"/>
            <w:vAlign w:val="center"/>
          </w:tcPr>
          <w:p w14:paraId="743AFEB5">
            <w:pPr>
              <w:widowControl/>
              <w:kinsoku/>
              <w:autoSpaceDE/>
              <w:autoSpaceDN/>
              <w:adjustRightInd/>
              <w:snapToGrid/>
              <w:jc w:val="center"/>
              <w:textAlignment w:val="auto"/>
              <w:rPr>
                <w:rFonts w:hint="eastAsia" w:ascii="宋体" w:hAnsi="宋体" w:eastAsia="宋体"/>
                <w:color w:val="auto"/>
                <w:sz w:val="24"/>
                <w:szCs w:val="24"/>
              </w:rPr>
            </w:pPr>
            <w:r>
              <w:rPr>
                <w:rFonts w:hint="eastAsia" w:ascii="宋体" w:hAnsi="宋体" w:eastAsia="宋体"/>
                <w:color w:val="auto"/>
                <w:sz w:val="24"/>
                <w:szCs w:val="24"/>
                <w:lang w:val="en-US" w:eastAsia="zh-CN"/>
              </w:rPr>
              <w:t>12</w:t>
            </w:r>
            <w:r>
              <w:rPr>
                <w:rFonts w:hint="eastAsia" w:ascii="宋体" w:hAnsi="宋体" w:eastAsia="宋体"/>
                <w:color w:val="auto"/>
                <w:sz w:val="24"/>
                <w:szCs w:val="24"/>
              </w:rPr>
              <w:t>分</w:t>
            </w:r>
          </w:p>
        </w:tc>
      </w:tr>
    </w:tbl>
    <w:p w14:paraId="3B2B684F">
      <w:pPr>
        <w:pStyle w:val="7"/>
        <w:rPr>
          <w:rFonts w:eastAsiaTheme="minorEastAsia"/>
          <w:lang w:val="zh-CN"/>
        </w:rPr>
      </w:pPr>
    </w:p>
    <w:p w14:paraId="0B4D7279">
      <w:pPr>
        <w:spacing w:before="240" w:after="120" w:line="360" w:lineRule="auto"/>
        <w:rPr>
          <w:rFonts w:hint="eastAsia" w:ascii="宋体" w:hAnsi="宋体" w:eastAsia="宋体"/>
          <w:b/>
          <w:color w:val="auto"/>
          <w:sz w:val="24"/>
          <w:szCs w:val="24"/>
          <w:lang w:val="zh-CN"/>
        </w:rPr>
      </w:pPr>
      <w:r>
        <w:rPr>
          <w:rFonts w:hint="eastAsia" w:ascii="宋体" w:hAnsi="宋体" w:eastAsia="宋体"/>
          <w:b/>
          <w:color w:val="auto"/>
          <w:sz w:val="24"/>
          <w:szCs w:val="24"/>
          <w:lang w:val="zh-CN"/>
        </w:rPr>
        <w:t>（</w:t>
      </w:r>
      <w:r>
        <w:rPr>
          <w:rFonts w:hint="eastAsia" w:ascii="宋体" w:hAnsi="宋体" w:eastAsia="宋体"/>
          <w:b/>
          <w:color w:val="auto"/>
          <w:sz w:val="24"/>
          <w:szCs w:val="24"/>
          <w:lang w:val="en-US" w:eastAsia="zh-CN"/>
        </w:rPr>
        <w:t>3</w:t>
      </w:r>
      <w:r>
        <w:rPr>
          <w:rFonts w:hint="eastAsia" w:ascii="宋体" w:hAnsi="宋体" w:eastAsia="宋体"/>
          <w:b/>
          <w:color w:val="auto"/>
          <w:sz w:val="24"/>
          <w:szCs w:val="24"/>
          <w:lang w:val="zh-CN"/>
        </w:rPr>
        <w:t>）报价评审（</w:t>
      </w:r>
      <w:r>
        <w:rPr>
          <w:rFonts w:hint="eastAsia" w:ascii="宋体" w:hAnsi="宋体" w:eastAsia="宋体"/>
          <w:b/>
          <w:color w:val="auto"/>
          <w:sz w:val="24"/>
          <w:szCs w:val="24"/>
        </w:rPr>
        <w:t>15分</w:t>
      </w:r>
      <w:r>
        <w:rPr>
          <w:rFonts w:hint="eastAsia" w:ascii="宋体" w:hAnsi="宋体" w:eastAsia="宋体"/>
          <w:b/>
          <w:color w:val="auto"/>
          <w:sz w:val="24"/>
          <w:szCs w:val="24"/>
          <w:lang w:val="zh-CN"/>
        </w:rPr>
        <w:t>）</w:t>
      </w:r>
    </w:p>
    <w:tbl>
      <w:tblPr>
        <w:tblStyle w:val="12"/>
        <w:tblW w:w="5171" w:type="pct"/>
        <w:tblInd w:w="-95" w:type="dxa"/>
        <w:tblLayout w:type="autofit"/>
        <w:tblCellMar>
          <w:top w:w="0" w:type="dxa"/>
          <w:left w:w="10" w:type="dxa"/>
          <w:bottom w:w="0" w:type="dxa"/>
          <w:right w:w="10" w:type="dxa"/>
        </w:tblCellMar>
      </w:tblPr>
      <w:tblGrid>
        <w:gridCol w:w="669"/>
        <w:gridCol w:w="1400"/>
        <w:gridCol w:w="6361"/>
        <w:gridCol w:w="738"/>
      </w:tblGrid>
      <w:tr w14:paraId="480AB957">
        <w:tblPrEx>
          <w:tblCellMar>
            <w:top w:w="0" w:type="dxa"/>
            <w:left w:w="10" w:type="dxa"/>
            <w:bottom w:w="0" w:type="dxa"/>
            <w:right w:w="10" w:type="dxa"/>
          </w:tblCellMar>
        </w:tblPrEx>
        <w:trPr>
          <w:trHeight w:val="625" w:hRule="atLeast"/>
        </w:trPr>
        <w:tc>
          <w:tcPr>
            <w:tcW w:w="365" w:type="pct"/>
            <w:tcBorders>
              <w:top w:val="single" w:color="auto" w:sz="6" w:space="0"/>
              <w:left w:val="single" w:color="auto" w:sz="6" w:space="0"/>
              <w:bottom w:val="single" w:color="auto" w:sz="6" w:space="0"/>
              <w:right w:val="single" w:color="auto" w:sz="6" w:space="0"/>
              <w:tl2br w:val="nil"/>
              <w:tr2bl w:val="nil"/>
            </w:tcBorders>
            <w:vAlign w:val="center"/>
          </w:tcPr>
          <w:p w14:paraId="352D4248">
            <w:pPr>
              <w:keepNext w:val="0"/>
              <w:keepLines/>
              <w:pageBreakBefore w:val="0"/>
              <w:widowControl/>
              <w:kinsoku w:val="0"/>
              <w:wordWrap/>
              <w:overflowPunct/>
              <w:topLinePunct w:val="0"/>
              <w:autoSpaceDE w:val="0"/>
              <w:autoSpaceDN/>
              <w:bidi w:val="0"/>
              <w:adjustRightInd/>
              <w:snapToGrid/>
              <w:jc w:val="center"/>
              <w:textAlignment w:val="auto"/>
              <w:rPr>
                <w:rFonts w:hint="eastAsia" w:ascii="宋体" w:hAnsi="宋体" w:eastAsia="宋体"/>
                <w:b/>
                <w:bCs/>
                <w:color w:val="auto"/>
                <w:sz w:val="24"/>
                <w:szCs w:val="24"/>
                <w:lang w:val="zh-CN"/>
              </w:rPr>
            </w:pPr>
            <w:r>
              <w:rPr>
                <w:rFonts w:hint="eastAsia" w:ascii="宋体" w:hAnsi="宋体" w:eastAsia="宋体"/>
                <w:b/>
                <w:bCs/>
                <w:color w:val="auto"/>
                <w:sz w:val="24"/>
                <w:szCs w:val="24"/>
                <w:lang w:val="zh-CN"/>
              </w:rPr>
              <w:t>序号</w:t>
            </w:r>
          </w:p>
        </w:tc>
        <w:tc>
          <w:tcPr>
            <w:tcW w:w="763" w:type="pct"/>
            <w:tcBorders>
              <w:top w:val="single" w:color="auto" w:sz="6" w:space="0"/>
              <w:left w:val="single" w:color="auto" w:sz="6" w:space="0"/>
              <w:bottom w:val="single" w:color="auto" w:sz="6" w:space="0"/>
              <w:right w:val="single" w:color="auto" w:sz="6" w:space="0"/>
              <w:tl2br w:val="nil"/>
              <w:tr2bl w:val="nil"/>
            </w:tcBorders>
            <w:vAlign w:val="center"/>
          </w:tcPr>
          <w:p w14:paraId="24549215">
            <w:pPr>
              <w:keepNext w:val="0"/>
              <w:keepLines/>
              <w:pageBreakBefore w:val="0"/>
              <w:widowControl/>
              <w:kinsoku w:val="0"/>
              <w:wordWrap/>
              <w:overflowPunct/>
              <w:topLinePunct w:val="0"/>
              <w:autoSpaceDE w:val="0"/>
              <w:autoSpaceDN/>
              <w:bidi w:val="0"/>
              <w:adjustRightInd/>
              <w:snapToGrid/>
              <w:jc w:val="center"/>
              <w:textAlignment w:val="auto"/>
              <w:rPr>
                <w:rFonts w:hint="eastAsia" w:ascii="宋体" w:hAnsi="宋体" w:eastAsia="宋体"/>
                <w:b/>
                <w:bCs/>
                <w:color w:val="auto"/>
                <w:sz w:val="24"/>
                <w:szCs w:val="24"/>
                <w:lang w:val="zh-CN"/>
              </w:rPr>
            </w:pPr>
            <w:r>
              <w:rPr>
                <w:rFonts w:hint="eastAsia" w:ascii="宋体" w:hAnsi="宋体" w:eastAsia="宋体"/>
                <w:b/>
                <w:bCs/>
                <w:color w:val="auto"/>
                <w:sz w:val="24"/>
                <w:szCs w:val="24"/>
                <w:lang w:val="zh-CN"/>
              </w:rPr>
              <w:t>评审因素</w:t>
            </w:r>
          </w:p>
        </w:tc>
        <w:tc>
          <w:tcPr>
            <w:tcW w:w="3467" w:type="pct"/>
            <w:tcBorders>
              <w:top w:val="single" w:color="auto" w:sz="6" w:space="0"/>
              <w:left w:val="single" w:color="auto" w:sz="6" w:space="0"/>
              <w:bottom w:val="single" w:color="auto" w:sz="6" w:space="0"/>
              <w:right w:val="single" w:color="auto" w:sz="6" w:space="0"/>
              <w:tl2br w:val="nil"/>
              <w:tr2bl w:val="nil"/>
            </w:tcBorders>
            <w:vAlign w:val="center"/>
          </w:tcPr>
          <w:p w14:paraId="5B7505DF">
            <w:pPr>
              <w:keepNext w:val="0"/>
              <w:keepLines/>
              <w:pageBreakBefore w:val="0"/>
              <w:widowControl/>
              <w:kinsoku w:val="0"/>
              <w:wordWrap/>
              <w:overflowPunct/>
              <w:topLinePunct w:val="0"/>
              <w:autoSpaceDE w:val="0"/>
              <w:autoSpaceDN/>
              <w:bidi w:val="0"/>
              <w:adjustRightInd/>
              <w:snapToGrid/>
              <w:jc w:val="center"/>
              <w:textAlignment w:val="auto"/>
              <w:rPr>
                <w:rFonts w:hint="eastAsia" w:ascii="宋体" w:hAnsi="宋体" w:eastAsia="宋体"/>
                <w:b/>
                <w:bCs/>
                <w:color w:val="auto"/>
                <w:sz w:val="24"/>
                <w:szCs w:val="24"/>
                <w:lang w:val="zh-CN"/>
              </w:rPr>
            </w:pPr>
            <w:r>
              <w:rPr>
                <w:rFonts w:hint="eastAsia" w:ascii="宋体" w:hAnsi="宋体" w:eastAsia="宋体"/>
                <w:b/>
                <w:bCs/>
                <w:color w:val="auto"/>
                <w:sz w:val="24"/>
                <w:szCs w:val="24"/>
                <w:lang w:val="zh-CN"/>
              </w:rPr>
              <w:t>评审标准</w:t>
            </w:r>
          </w:p>
        </w:tc>
        <w:tc>
          <w:tcPr>
            <w:tcW w:w="402" w:type="pct"/>
            <w:tcBorders>
              <w:top w:val="single" w:color="auto" w:sz="6" w:space="0"/>
              <w:left w:val="single" w:color="auto" w:sz="6" w:space="0"/>
              <w:bottom w:val="single" w:color="auto" w:sz="6" w:space="0"/>
              <w:right w:val="single" w:color="auto" w:sz="6" w:space="0"/>
              <w:tl2br w:val="nil"/>
              <w:tr2bl w:val="nil"/>
            </w:tcBorders>
            <w:vAlign w:val="center"/>
          </w:tcPr>
          <w:p w14:paraId="336F1879">
            <w:pPr>
              <w:keepNext w:val="0"/>
              <w:keepLines/>
              <w:pageBreakBefore w:val="0"/>
              <w:widowControl/>
              <w:kinsoku w:val="0"/>
              <w:wordWrap/>
              <w:overflowPunct/>
              <w:topLinePunct w:val="0"/>
              <w:autoSpaceDE w:val="0"/>
              <w:autoSpaceDN/>
              <w:bidi w:val="0"/>
              <w:adjustRightInd/>
              <w:snapToGrid/>
              <w:jc w:val="center"/>
              <w:textAlignment w:val="auto"/>
              <w:rPr>
                <w:rFonts w:hint="eastAsia" w:ascii="宋体" w:hAnsi="宋体" w:eastAsia="宋体"/>
                <w:b/>
                <w:bCs/>
                <w:color w:val="auto"/>
                <w:sz w:val="24"/>
                <w:szCs w:val="24"/>
                <w:lang w:val="zh-CN"/>
              </w:rPr>
            </w:pPr>
            <w:r>
              <w:rPr>
                <w:rFonts w:hint="eastAsia" w:ascii="宋体" w:hAnsi="宋体" w:eastAsia="宋体"/>
                <w:b/>
                <w:bCs/>
                <w:color w:val="auto"/>
                <w:sz w:val="24"/>
                <w:szCs w:val="24"/>
                <w:lang w:val="zh-CN"/>
              </w:rPr>
              <w:t>分值</w:t>
            </w:r>
          </w:p>
        </w:tc>
      </w:tr>
      <w:tr w14:paraId="58363BBE">
        <w:tblPrEx>
          <w:tblCellMar>
            <w:top w:w="0" w:type="dxa"/>
            <w:left w:w="10" w:type="dxa"/>
            <w:bottom w:w="0" w:type="dxa"/>
            <w:right w:w="10" w:type="dxa"/>
          </w:tblCellMar>
        </w:tblPrEx>
        <w:trPr>
          <w:trHeight w:val="5776" w:hRule="atLeast"/>
        </w:trPr>
        <w:tc>
          <w:tcPr>
            <w:tcW w:w="365" w:type="pct"/>
            <w:tcBorders>
              <w:top w:val="single" w:color="auto" w:sz="6" w:space="0"/>
              <w:left w:val="single" w:color="auto" w:sz="6" w:space="0"/>
              <w:bottom w:val="single" w:color="auto" w:sz="6" w:space="0"/>
              <w:right w:val="single" w:color="auto" w:sz="6" w:space="0"/>
              <w:tl2br w:val="nil"/>
              <w:tr2bl w:val="nil"/>
            </w:tcBorders>
            <w:vAlign w:val="center"/>
          </w:tcPr>
          <w:p w14:paraId="5E752136">
            <w:pPr>
              <w:keepNext w:val="0"/>
              <w:keepLines/>
              <w:pageBreakBefore w:val="0"/>
              <w:widowControl/>
              <w:kinsoku w:val="0"/>
              <w:wordWrap/>
              <w:overflowPunct/>
              <w:topLinePunct w:val="0"/>
              <w:autoSpaceDE w:val="0"/>
              <w:autoSpaceDN/>
              <w:bidi w:val="0"/>
              <w:adjustRightInd/>
              <w:snapToGrid/>
              <w:jc w:val="center"/>
              <w:textAlignment w:val="auto"/>
              <w:rPr>
                <w:rFonts w:hint="eastAsia" w:ascii="宋体" w:hAnsi="宋体" w:eastAsia="宋体"/>
                <w:color w:val="auto"/>
                <w:sz w:val="24"/>
                <w:szCs w:val="24"/>
                <w:lang w:val="zh-CN"/>
              </w:rPr>
            </w:pPr>
            <w:r>
              <w:rPr>
                <w:rFonts w:hint="eastAsia" w:ascii="宋体" w:hAnsi="宋体" w:eastAsia="宋体"/>
                <w:color w:val="auto"/>
                <w:sz w:val="24"/>
                <w:szCs w:val="24"/>
                <w:lang w:val="zh-CN"/>
              </w:rPr>
              <w:t>1</w:t>
            </w:r>
          </w:p>
        </w:tc>
        <w:tc>
          <w:tcPr>
            <w:tcW w:w="763" w:type="pct"/>
            <w:tcBorders>
              <w:top w:val="single" w:color="auto" w:sz="6" w:space="0"/>
              <w:left w:val="single" w:color="auto" w:sz="6" w:space="0"/>
              <w:bottom w:val="single" w:color="auto" w:sz="6" w:space="0"/>
              <w:right w:val="single" w:color="auto" w:sz="6" w:space="0"/>
              <w:tl2br w:val="nil"/>
              <w:tr2bl w:val="nil"/>
            </w:tcBorders>
            <w:vAlign w:val="center"/>
          </w:tcPr>
          <w:p w14:paraId="4E87EFF4">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4"/>
                <w:szCs w:val="24"/>
                <w:lang w:val="zh-CN"/>
              </w:rPr>
            </w:pPr>
            <w:r>
              <w:rPr>
                <w:rFonts w:hint="eastAsia" w:ascii="宋体" w:hAnsi="宋体" w:eastAsia="宋体"/>
                <w:color w:val="auto"/>
                <w:sz w:val="24"/>
                <w:szCs w:val="24"/>
                <w:lang w:val="zh-CN"/>
              </w:rPr>
              <w:t>投标报价总价（按单次单价加权计算）</w:t>
            </w:r>
          </w:p>
        </w:tc>
        <w:tc>
          <w:tcPr>
            <w:tcW w:w="3467" w:type="pct"/>
            <w:tcBorders>
              <w:top w:val="single" w:color="auto" w:sz="6" w:space="0"/>
              <w:left w:val="single" w:color="auto" w:sz="6" w:space="0"/>
              <w:bottom w:val="single" w:color="auto" w:sz="6" w:space="0"/>
              <w:right w:val="single" w:color="auto" w:sz="6" w:space="0"/>
              <w:tl2br w:val="nil"/>
              <w:tr2bl w:val="nil"/>
            </w:tcBorders>
            <w:vAlign w:val="center"/>
          </w:tcPr>
          <w:p w14:paraId="4C596580">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zh-CN"/>
              </w:rPr>
            </w:pPr>
            <w:r>
              <w:rPr>
                <w:rFonts w:hint="eastAsia" w:ascii="宋体" w:hAnsi="宋体" w:eastAsia="宋体"/>
                <w:color w:val="auto"/>
                <w:sz w:val="21"/>
                <w:szCs w:val="21"/>
                <w:lang w:val="zh-CN"/>
              </w:rPr>
              <w:t>价格分计算公式：价格分=〔(二级系统评标基准价 ÷ 供应商二级系统单次报价)×30%＋(三级系统评标基准价 ÷ 供应商三级系统单次报价)×70%〕×15</w:t>
            </w:r>
          </w:p>
          <w:p w14:paraId="779F2F22">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zh-CN"/>
              </w:rPr>
            </w:pPr>
            <w:r>
              <w:rPr>
                <w:rFonts w:hint="eastAsia" w:ascii="宋体" w:hAnsi="宋体" w:eastAsia="宋体"/>
                <w:color w:val="auto"/>
                <w:sz w:val="21"/>
                <w:szCs w:val="21"/>
                <w:lang w:val="zh-CN"/>
              </w:rPr>
              <w:t>备注：1. 二级系统评标基准价：满足采购文件实质性要求的最低有效二级系统单次测评单价；</w:t>
            </w:r>
          </w:p>
          <w:p w14:paraId="652174D5">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zh-CN"/>
              </w:rPr>
            </w:pPr>
            <w:r>
              <w:rPr>
                <w:rFonts w:hint="eastAsia" w:ascii="宋体" w:hAnsi="宋体" w:eastAsia="宋体"/>
                <w:color w:val="auto"/>
                <w:sz w:val="21"/>
                <w:szCs w:val="21"/>
                <w:lang w:val="zh-CN" w:eastAsia="zh-CN"/>
              </w:rPr>
              <w:t>2.</w:t>
            </w:r>
            <w:r>
              <w:rPr>
                <w:rFonts w:hint="eastAsia" w:ascii="宋体" w:hAnsi="宋体" w:eastAsia="宋体"/>
                <w:color w:val="auto"/>
                <w:sz w:val="21"/>
                <w:szCs w:val="21"/>
                <w:lang w:val="zh-CN"/>
              </w:rPr>
              <w:t>三级系统评标基准价：满足采购文件实质性要求的最低有效三级系统单次测评单价；</w:t>
            </w:r>
          </w:p>
          <w:p w14:paraId="1A7DE379">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zh-CN"/>
              </w:rPr>
            </w:pPr>
            <w:r>
              <w:rPr>
                <w:rFonts w:hint="eastAsia" w:ascii="宋体" w:hAnsi="宋体" w:eastAsia="宋体"/>
                <w:color w:val="auto"/>
                <w:sz w:val="21"/>
                <w:szCs w:val="21"/>
                <w:lang w:val="zh-CN" w:eastAsia="zh-CN"/>
              </w:rPr>
              <w:t>3.</w:t>
            </w:r>
            <w:r>
              <w:rPr>
                <w:rFonts w:hint="eastAsia" w:ascii="宋体" w:hAnsi="宋体" w:eastAsia="宋体"/>
                <w:color w:val="auto"/>
                <w:sz w:val="21"/>
                <w:szCs w:val="21"/>
                <w:lang w:val="zh-CN"/>
              </w:rPr>
              <w:t>得分保留两位小数点，第三位四舍五入；</w:t>
            </w:r>
          </w:p>
          <w:p w14:paraId="38839E0D">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zh-CN"/>
              </w:rPr>
            </w:pPr>
            <w:r>
              <w:rPr>
                <w:rFonts w:hint="eastAsia" w:ascii="宋体" w:hAnsi="宋体" w:eastAsia="宋体"/>
                <w:color w:val="auto"/>
                <w:sz w:val="21"/>
                <w:szCs w:val="21"/>
                <w:lang w:val="zh-CN"/>
              </w:rPr>
              <w:t>4. 供应商二级、三级任一单次报价超过采购文件对应等级限价的，其响应文件按无效响应处理；</w:t>
            </w:r>
          </w:p>
          <w:p w14:paraId="2D302A04">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zh-CN"/>
              </w:rPr>
            </w:pPr>
            <w:r>
              <w:rPr>
                <w:rFonts w:hint="eastAsia" w:ascii="宋体" w:hAnsi="宋体" w:eastAsia="宋体"/>
                <w:color w:val="auto"/>
                <w:sz w:val="21"/>
                <w:szCs w:val="21"/>
                <w:lang w:val="zh-CN"/>
              </w:rPr>
              <w:t>5. 评标委员会认为供应商的报价明显低于其他通过符合性审查供应商的报价，有可能影响服务质量或者不能诚信履约的，应当要求其在评标现场合理时间内提供书面说明，必要时提交相关证明材料；供应商不能证明其报价合理性的，评标委员会应当将其作为无效投标处理；</w:t>
            </w:r>
          </w:p>
          <w:p w14:paraId="70261A5F">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hint="eastAsia" w:ascii="宋体" w:hAnsi="宋体" w:eastAsia="宋体"/>
                <w:color w:val="auto"/>
                <w:sz w:val="21"/>
                <w:szCs w:val="21"/>
                <w:lang w:val="zh-CN"/>
              </w:rPr>
            </w:pPr>
            <w:r>
              <w:rPr>
                <w:rFonts w:hint="eastAsia" w:ascii="宋体" w:hAnsi="宋体" w:eastAsia="宋体"/>
                <w:color w:val="auto"/>
                <w:sz w:val="21"/>
                <w:szCs w:val="21"/>
                <w:lang w:val="zh-CN"/>
              </w:rPr>
              <w:t>6. 根据《关于推动解决政府采购异常低价问题的通知》（财库〔2026〕2 号）相关规定，对符合该文件第二条第一款的情形，应启动异常低价投标（响应）专项评审程序。</w:t>
            </w:r>
          </w:p>
        </w:tc>
        <w:tc>
          <w:tcPr>
            <w:tcW w:w="402" w:type="pct"/>
            <w:tcBorders>
              <w:top w:val="single" w:color="auto" w:sz="6" w:space="0"/>
              <w:left w:val="single" w:color="auto" w:sz="6" w:space="0"/>
              <w:bottom w:val="single" w:color="auto" w:sz="6" w:space="0"/>
              <w:right w:val="single" w:color="auto" w:sz="6" w:space="0"/>
              <w:tl2br w:val="nil"/>
              <w:tr2bl w:val="nil"/>
            </w:tcBorders>
            <w:vAlign w:val="center"/>
          </w:tcPr>
          <w:p w14:paraId="126C1A36">
            <w:pPr>
              <w:keepNext w:val="0"/>
              <w:keepLines/>
              <w:pageBreakBefore w:val="0"/>
              <w:widowControl/>
              <w:kinsoku w:val="0"/>
              <w:wordWrap/>
              <w:overflowPunct/>
              <w:topLinePunct w:val="0"/>
              <w:autoSpaceDE w:val="0"/>
              <w:autoSpaceDN/>
              <w:bidi w:val="0"/>
              <w:adjustRightInd/>
              <w:snapToGrid/>
              <w:jc w:val="center"/>
              <w:textAlignment w:val="auto"/>
              <w:rPr>
                <w:rFonts w:hint="eastAsia" w:ascii="宋体" w:hAnsi="宋体" w:eastAsia="宋体"/>
                <w:color w:val="auto"/>
                <w:sz w:val="24"/>
                <w:szCs w:val="24"/>
              </w:rPr>
            </w:pPr>
            <w:r>
              <w:rPr>
                <w:rFonts w:hint="eastAsia" w:ascii="宋体" w:hAnsi="宋体" w:eastAsia="宋体"/>
                <w:color w:val="auto"/>
                <w:sz w:val="24"/>
                <w:szCs w:val="24"/>
              </w:rPr>
              <w:t>15分</w:t>
            </w:r>
          </w:p>
        </w:tc>
      </w:tr>
      <w:bookmarkEnd w:id="0"/>
    </w:tbl>
    <w:p w14:paraId="339ED5B8">
      <w:pPr>
        <w:rPr>
          <w:rFonts w:hint="eastAsia" w:ascii="宋体" w:hAnsi="宋体" w:eastAsia="宋体"/>
          <w:lang w:eastAsia="zh-CN"/>
        </w:rPr>
      </w:pPr>
    </w:p>
    <w:p w14:paraId="73816155">
      <w:pPr>
        <w:pStyle w:val="2"/>
        <w:numPr>
          <w:ilvl w:val="0"/>
          <w:numId w:val="0"/>
        </w:numPr>
        <w:ind w:left="0" w:leftChars="0" w:firstLine="0" w:firstLineChars="0"/>
        <w:rPr>
          <w:rFonts w:hint="eastAsia"/>
          <w:lang w:val="en-US" w:eastAsia="zh-CN"/>
        </w:rPr>
      </w:pPr>
      <w:r>
        <w:rPr>
          <w:rFonts w:hint="eastAsia"/>
          <w:lang w:val="en-US" w:eastAsia="zh-CN"/>
        </w:rPr>
        <w:t>二、报价模版</w:t>
      </w:r>
    </w:p>
    <w:tbl>
      <w:tblPr>
        <w:tblStyle w:val="13"/>
        <w:tblW w:w="88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2689"/>
        <w:gridCol w:w="828"/>
        <w:gridCol w:w="2582"/>
        <w:gridCol w:w="2019"/>
      </w:tblGrid>
      <w:tr w14:paraId="1191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720" w:type="dxa"/>
            <w:vAlign w:val="center"/>
          </w:tcPr>
          <w:p w14:paraId="44CBCEC2">
            <w:pPr>
              <w:widowControl w:val="0"/>
              <w:numPr>
                <w:ilvl w:val="0"/>
                <w:numId w:val="0"/>
              </w:numPr>
              <w:jc w:val="center"/>
              <w:rPr>
                <w:rFonts w:hint="default" w:ascii="宋体" w:hAnsi="宋体" w:eastAsia="宋体"/>
                <w:sz w:val="24"/>
                <w:szCs w:val="24"/>
                <w:vertAlign w:val="baseline"/>
                <w:lang w:val="en-US" w:eastAsia="zh-CN"/>
              </w:rPr>
            </w:pPr>
            <w:r>
              <w:rPr>
                <w:rFonts w:hint="eastAsia" w:ascii="宋体" w:hAnsi="宋体" w:eastAsia="宋体"/>
                <w:sz w:val="24"/>
                <w:szCs w:val="24"/>
                <w:vertAlign w:val="baseline"/>
                <w:lang w:val="en-US" w:eastAsia="zh-CN"/>
              </w:rPr>
              <w:t>序号</w:t>
            </w:r>
          </w:p>
        </w:tc>
        <w:tc>
          <w:tcPr>
            <w:tcW w:w="2689" w:type="dxa"/>
            <w:vAlign w:val="center"/>
          </w:tcPr>
          <w:p w14:paraId="18E79112">
            <w:pPr>
              <w:widowControl w:val="0"/>
              <w:numPr>
                <w:ilvl w:val="0"/>
                <w:numId w:val="0"/>
              </w:numPr>
              <w:jc w:val="center"/>
              <w:rPr>
                <w:rFonts w:hint="default" w:ascii="宋体" w:hAnsi="宋体" w:eastAsia="宋体"/>
                <w:sz w:val="24"/>
                <w:szCs w:val="24"/>
                <w:vertAlign w:val="baseline"/>
                <w:lang w:val="en-US" w:eastAsia="zh-CN"/>
              </w:rPr>
            </w:pPr>
            <w:r>
              <w:rPr>
                <w:rFonts w:hint="eastAsia" w:ascii="宋体" w:hAnsi="宋体" w:eastAsia="宋体"/>
                <w:sz w:val="24"/>
                <w:szCs w:val="24"/>
                <w:vertAlign w:val="baseline"/>
                <w:lang w:val="en-US" w:eastAsia="zh-CN"/>
              </w:rPr>
              <w:t>服务项目</w:t>
            </w:r>
          </w:p>
        </w:tc>
        <w:tc>
          <w:tcPr>
            <w:tcW w:w="828" w:type="dxa"/>
            <w:vAlign w:val="center"/>
          </w:tcPr>
          <w:p w14:paraId="2D6BE656">
            <w:pPr>
              <w:widowControl w:val="0"/>
              <w:numPr>
                <w:ilvl w:val="0"/>
                <w:numId w:val="0"/>
              </w:numPr>
              <w:jc w:val="center"/>
              <w:rPr>
                <w:rFonts w:hint="default" w:ascii="宋体" w:hAnsi="宋体" w:eastAsia="宋体"/>
                <w:sz w:val="24"/>
                <w:szCs w:val="24"/>
                <w:vertAlign w:val="baseline"/>
                <w:lang w:val="en-US" w:eastAsia="zh-CN"/>
              </w:rPr>
            </w:pPr>
            <w:r>
              <w:rPr>
                <w:rFonts w:hint="eastAsia" w:ascii="宋体" w:hAnsi="宋体" w:eastAsia="宋体"/>
                <w:sz w:val="24"/>
                <w:szCs w:val="24"/>
                <w:vertAlign w:val="baseline"/>
                <w:lang w:val="en-US" w:eastAsia="zh-CN"/>
              </w:rPr>
              <w:t>单位</w:t>
            </w:r>
          </w:p>
        </w:tc>
        <w:tc>
          <w:tcPr>
            <w:tcW w:w="2582" w:type="dxa"/>
            <w:vAlign w:val="center"/>
          </w:tcPr>
          <w:p w14:paraId="08DF0556">
            <w:pPr>
              <w:widowControl w:val="0"/>
              <w:numPr>
                <w:ilvl w:val="0"/>
                <w:numId w:val="0"/>
              </w:numPr>
              <w:jc w:val="center"/>
              <w:rPr>
                <w:rFonts w:hint="default" w:ascii="宋体" w:hAnsi="宋体" w:eastAsia="宋体"/>
                <w:sz w:val="24"/>
                <w:szCs w:val="24"/>
                <w:vertAlign w:val="baseline"/>
                <w:lang w:val="en-US" w:eastAsia="zh-CN"/>
              </w:rPr>
            </w:pPr>
            <w:r>
              <w:rPr>
                <w:rFonts w:hint="eastAsia" w:ascii="宋体" w:hAnsi="宋体" w:eastAsia="宋体"/>
                <w:sz w:val="24"/>
                <w:szCs w:val="24"/>
                <w:vertAlign w:val="baseline"/>
                <w:lang w:val="en-US" w:eastAsia="zh-CN"/>
              </w:rPr>
              <w:t>单价（元）</w:t>
            </w:r>
          </w:p>
        </w:tc>
        <w:tc>
          <w:tcPr>
            <w:tcW w:w="2019" w:type="dxa"/>
            <w:vAlign w:val="center"/>
          </w:tcPr>
          <w:p w14:paraId="35B85F6D">
            <w:pPr>
              <w:widowControl w:val="0"/>
              <w:numPr>
                <w:ilvl w:val="0"/>
                <w:numId w:val="0"/>
              </w:numPr>
              <w:jc w:val="center"/>
              <w:rPr>
                <w:rFonts w:hint="default" w:ascii="宋体" w:hAnsi="宋体" w:eastAsia="宋体"/>
                <w:sz w:val="24"/>
                <w:szCs w:val="24"/>
                <w:vertAlign w:val="baseline"/>
                <w:lang w:val="en-US" w:eastAsia="zh-CN"/>
              </w:rPr>
            </w:pPr>
            <w:r>
              <w:rPr>
                <w:rFonts w:hint="eastAsia" w:ascii="宋体" w:hAnsi="宋体" w:eastAsia="宋体"/>
                <w:sz w:val="24"/>
                <w:szCs w:val="24"/>
                <w:vertAlign w:val="baseline"/>
                <w:lang w:val="en-US" w:eastAsia="zh-CN"/>
              </w:rPr>
              <w:t>备注</w:t>
            </w:r>
          </w:p>
        </w:tc>
      </w:tr>
      <w:tr w14:paraId="345A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720" w:type="dxa"/>
            <w:vAlign w:val="center"/>
          </w:tcPr>
          <w:p w14:paraId="663347FF">
            <w:pPr>
              <w:widowControl w:val="0"/>
              <w:numPr>
                <w:ilvl w:val="0"/>
                <w:numId w:val="0"/>
              </w:numPr>
              <w:jc w:val="center"/>
              <w:rPr>
                <w:rFonts w:hint="default" w:ascii="宋体" w:hAnsi="宋体" w:eastAsia="宋体"/>
                <w:sz w:val="24"/>
                <w:szCs w:val="24"/>
                <w:vertAlign w:val="baseline"/>
                <w:lang w:val="en-US" w:eastAsia="zh-CN"/>
              </w:rPr>
            </w:pPr>
            <w:r>
              <w:rPr>
                <w:rFonts w:hint="eastAsia" w:ascii="宋体" w:hAnsi="宋体" w:eastAsia="宋体"/>
                <w:sz w:val="24"/>
                <w:szCs w:val="24"/>
                <w:vertAlign w:val="baseline"/>
                <w:lang w:val="en-US" w:eastAsia="zh-CN"/>
              </w:rPr>
              <w:t>1</w:t>
            </w:r>
          </w:p>
        </w:tc>
        <w:tc>
          <w:tcPr>
            <w:tcW w:w="2689" w:type="dxa"/>
            <w:shd w:val="clear" w:color="auto" w:fill="auto"/>
            <w:vAlign w:val="center"/>
          </w:tcPr>
          <w:p w14:paraId="7934BF57">
            <w:pPr>
              <w:keepNext w:val="0"/>
              <w:keepLines w:val="0"/>
              <w:widowControl/>
              <w:suppressLineNumbers w:val="0"/>
              <w:spacing w:before="0" w:beforeAutospacing="0" w:after="0" w:afterAutospacing="0" w:line="360" w:lineRule="atLeast"/>
              <w:ind w:left="0" w:leftChars="0" w:right="0" w:rightChars="0"/>
              <w:jc w:val="center"/>
              <w:rPr>
                <w:rFonts w:hint="default" w:ascii="Arial" w:hAnsi="Arial" w:eastAsia="Arial" w:cs="Arial"/>
                <w:snapToGrid w:val="0"/>
                <w:color w:val="1F2329"/>
                <w:sz w:val="24"/>
                <w:szCs w:val="24"/>
                <w:lang w:val="en-US" w:eastAsia="zh-CN" w:bidi="ar-SA"/>
              </w:rPr>
            </w:pPr>
            <w:r>
              <w:rPr>
                <w:rFonts w:ascii="宋体" w:hAnsi="宋体" w:eastAsia="宋体" w:cs="宋体"/>
                <w:color w:val="1F2329"/>
                <w:kern w:val="0"/>
                <w:sz w:val="24"/>
                <w:szCs w:val="24"/>
                <w:lang w:val="en-US" w:eastAsia="zh-CN" w:bidi="ar"/>
              </w:rPr>
              <w:t>网络安全等级保护测评（二级系统）</w:t>
            </w:r>
          </w:p>
        </w:tc>
        <w:tc>
          <w:tcPr>
            <w:tcW w:w="828" w:type="dxa"/>
            <w:vAlign w:val="center"/>
          </w:tcPr>
          <w:p w14:paraId="6550E773">
            <w:pPr>
              <w:widowControl w:val="0"/>
              <w:numPr>
                <w:ilvl w:val="0"/>
                <w:numId w:val="0"/>
              </w:numPr>
              <w:jc w:val="center"/>
              <w:rPr>
                <w:rFonts w:hint="default" w:ascii="宋体" w:hAnsi="宋体" w:eastAsia="宋体"/>
                <w:sz w:val="24"/>
                <w:szCs w:val="24"/>
                <w:vertAlign w:val="baseline"/>
                <w:lang w:val="en-US" w:eastAsia="zh-CN"/>
              </w:rPr>
            </w:pPr>
            <w:r>
              <w:rPr>
                <w:rFonts w:hint="eastAsia" w:ascii="宋体" w:hAnsi="宋体" w:eastAsia="宋体"/>
                <w:sz w:val="24"/>
                <w:szCs w:val="24"/>
                <w:vertAlign w:val="baseline"/>
                <w:lang w:val="en-US" w:eastAsia="zh-CN"/>
              </w:rPr>
              <w:t>次</w:t>
            </w:r>
          </w:p>
        </w:tc>
        <w:tc>
          <w:tcPr>
            <w:tcW w:w="2582" w:type="dxa"/>
            <w:vAlign w:val="center"/>
          </w:tcPr>
          <w:p w14:paraId="2FC2090C">
            <w:pPr>
              <w:widowControl w:val="0"/>
              <w:numPr>
                <w:ilvl w:val="0"/>
                <w:numId w:val="0"/>
              </w:numPr>
              <w:jc w:val="center"/>
              <w:rPr>
                <w:rFonts w:hint="default" w:ascii="宋体" w:hAnsi="宋体" w:eastAsia="宋体"/>
                <w:sz w:val="24"/>
                <w:szCs w:val="24"/>
                <w:vertAlign w:val="baseline"/>
                <w:lang w:val="en-US" w:eastAsia="zh-CN"/>
              </w:rPr>
            </w:pPr>
          </w:p>
        </w:tc>
        <w:tc>
          <w:tcPr>
            <w:tcW w:w="2019" w:type="dxa"/>
            <w:vMerge w:val="restart"/>
            <w:vAlign w:val="center"/>
          </w:tcPr>
          <w:p w14:paraId="4087B1A2">
            <w:pPr>
              <w:widowControl w:val="0"/>
              <w:numPr>
                <w:ilvl w:val="0"/>
                <w:numId w:val="0"/>
              </w:numPr>
              <w:jc w:val="both"/>
              <w:rPr>
                <w:rFonts w:hint="default" w:ascii="宋体" w:hAnsi="宋体" w:eastAsia="宋体"/>
                <w:sz w:val="24"/>
                <w:szCs w:val="24"/>
                <w:vertAlign w:val="baseline"/>
                <w:lang w:val="en-US" w:eastAsia="zh-CN"/>
              </w:rPr>
            </w:pPr>
            <w:r>
              <w:rPr>
                <w:rFonts w:ascii="宋体" w:hAnsi="宋体" w:eastAsia="宋体" w:cs="宋体"/>
                <w:color w:val="1F2329"/>
                <w:kern w:val="0"/>
                <w:sz w:val="24"/>
                <w:szCs w:val="24"/>
                <w:lang w:val="en-US" w:eastAsia="zh-CN" w:bidi="ar"/>
              </w:rPr>
              <w:t>全包闭口单价，3 年服务期内固定不变</w:t>
            </w:r>
          </w:p>
        </w:tc>
      </w:tr>
      <w:tr w14:paraId="25805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720" w:type="dxa"/>
            <w:vAlign w:val="center"/>
          </w:tcPr>
          <w:p w14:paraId="084DACBC">
            <w:pPr>
              <w:widowControl w:val="0"/>
              <w:numPr>
                <w:ilvl w:val="0"/>
                <w:numId w:val="0"/>
              </w:numPr>
              <w:jc w:val="center"/>
              <w:rPr>
                <w:rFonts w:hint="default" w:ascii="宋体" w:hAnsi="宋体" w:eastAsia="宋体"/>
                <w:sz w:val="24"/>
                <w:szCs w:val="24"/>
                <w:vertAlign w:val="baseline"/>
                <w:lang w:val="en-US" w:eastAsia="zh-CN"/>
              </w:rPr>
            </w:pPr>
            <w:r>
              <w:rPr>
                <w:rFonts w:hint="eastAsia" w:ascii="宋体" w:hAnsi="宋体" w:eastAsia="宋体"/>
                <w:sz w:val="24"/>
                <w:szCs w:val="24"/>
                <w:vertAlign w:val="baseline"/>
                <w:lang w:val="en-US" w:eastAsia="zh-CN"/>
              </w:rPr>
              <w:t>2</w:t>
            </w:r>
          </w:p>
        </w:tc>
        <w:tc>
          <w:tcPr>
            <w:tcW w:w="2689" w:type="dxa"/>
            <w:shd w:val="clear" w:color="auto" w:fill="auto"/>
            <w:vAlign w:val="center"/>
          </w:tcPr>
          <w:p w14:paraId="465BC8DA">
            <w:pPr>
              <w:keepNext w:val="0"/>
              <w:keepLines w:val="0"/>
              <w:widowControl/>
              <w:suppressLineNumbers w:val="0"/>
              <w:spacing w:before="0" w:beforeAutospacing="0" w:after="0" w:afterAutospacing="0" w:line="360" w:lineRule="atLeast"/>
              <w:ind w:left="0" w:leftChars="0" w:right="0" w:rightChars="0"/>
              <w:jc w:val="center"/>
              <w:rPr>
                <w:rFonts w:hint="default" w:ascii="Arial" w:hAnsi="Arial" w:eastAsia="Arial" w:cs="Arial"/>
                <w:snapToGrid w:val="0"/>
                <w:color w:val="1F2329"/>
                <w:sz w:val="24"/>
                <w:szCs w:val="24"/>
                <w:lang w:val="en-US" w:eastAsia="zh-CN" w:bidi="ar-SA"/>
              </w:rPr>
            </w:pPr>
            <w:r>
              <w:rPr>
                <w:rFonts w:ascii="宋体" w:hAnsi="宋体" w:eastAsia="宋体" w:cs="宋体"/>
                <w:color w:val="1F2329"/>
                <w:kern w:val="0"/>
                <w:sz w:val="24"/>
                <w:szCs w:val="24"/>
                <w:lang w:val="en-US" w:eastAsia="zh-CN" w:bidi="ar"/>
              </w:rPr>
              <w:t>网络安全等级保护测评（三级系统）</w:t>
            </w:r>
          </w:p>
        </w:tc>
        <w:tc>
          <w:tcPr>
            <w:tcW w:w="828" w:type="dxa"/>
            <w:vAlign w:val="center"/>
          </w:tcPr>
          <w:p w14:paraId="2E92C635">
            <w:pPr>
              <w:widowControl w:val="0"/>
              <w:numPr>
                <w:ilvl w:val="0"/>
                <w:numId w:val="0"/>
              </w:numPr>
              <w:jc w:val="center"/>
              <w:rPr>
                <w:rFonts w:hint="default" w:ascii="宋体" w:hAnsi="宋体" w:eastAsia="宋体"/>
                <w:sz w:val="24"/>
                <w:szCs w:val="24"/>
                <w:vertAlign w:val="baseline"/>
                <w:lang w:val="en-US" w:eastAsia="zh-CN"/>
              </w:rPr>
            </w:pPr>
            <w:r>
              <w:rPr>
                <w:rFonts w:hint="eastAsia" w:ascii="宋体" w:hAnsi="宋体" w:eastAsia="宋体"/>
                <w:sz w:val="24"/>
                <w:szCs w:val="24"/>
                <w:vertAlign w:val="baseline"/>
                <w:lang w:val="en-US" w:eastAsia="zh-CN"/>
              </w:rPr>
              <w:t>次</w:t>
            </w:r>
          </w:p>
        </w:tc>
        <w:tc>
          <w:tcPr>
            <w:tcW w:w="2582" w:type="dxa"/>
            <w:vAlign w:val="center"/>
          </w:tcPr>
          <w:p w14:paraId="59E1298A">
            <w:pPr>
              <w:widowControl w:val="0"/>
              <w:numPr>
                <w:ilvl w:val="0"/>
                <w:numId w:val="0"/>
              </w:numPr>
              <w:jc w:val="center"/>
              <w:rPr>
                <w:rFonts w:hint="default" w:ascii="宋体" w:hAnsi="宋体" w:eastAsia="宋体"/>
                <w:sz w:val="24"/>
                <w:szCs w:val="24"/>
                <w:vertAlign w:val="baseline"/>
                <w:lang w:val="en-US" w:eastAsia="zh-CN"/>
              </w:rPr>
            </w:pPr>
          </w:p>
        </w:tc>
        <w:tc>
          <w:tcPr>
            <w:tcW w:w="2019" w:type="dxa"/>
            <w:vMerge w:val="continue"/>
            <w:vAlign w:val="center"/>
          </w:tcPr>
          <w:p w14:paraId="55F97ABC">
            <w:pPr>
              <w:widowControl w:val="0"/>
              <w:numPr>
                <w:ilvl w:val="0"/>
                <w:numId w:val="0"/>
              </w:numPr>
              <w:jc w:val="center"/>
              <w:rPr>
                <w:rFonts w:hint="default" w:ascii="宋体" w:hAnsi="宋体" w:eastAsia="宋体"/>
                <w:sz w:val="24"/>
                <w:szCs w:val="24"/>
                <w:vertAlign w:val="baseline"/>
                <w:lang w:val="en-US" w:eastAsia="zh-CN"/>
              </w:rPr>
            </w:pPr>
          </w:p>
        </w:tc>
      </w:tr>
    </w:tbl>
    <w:p w14:paraId="64473063">
      <w:pPr>
        <w:numPr>
          <w:ilvl w:val="0"/>
          <w:numId w:val="0"/>
        </w:numPr>
        <w:rPr>
          <w:rFonts w:hint="default" w:ascii="宋体" w:hAnsi="宋体" w:eastAsia="宋体"/>
          <w:sz w:val="24"/>
          <w:szCs w:val="24"/>
          <w:lang w:val="en-US" w:eastAsia="zh-CN"/>
        </w:rPr>
      </w:pPr>
      <w:r>
        <w:rPr>
          <w:rFonts w:hint="default" w:ascii="宋体" w:hAnsi="宋体" w:eastAsia="宋体"/>
          <w:sz w:val="24"/>
          <w:szCs w:val="24"/>
          <w:lang w:val="en-US" w:eastAsia="zh-CN"/>
        </w:rPr>
        <w:t>总服务期 3 年，一年一签，每年开展履约考核，考核不合格不予续签；</w:t>
      </w:r>
    </w:p>
    <w:p w14:paraId="27F2C232">
      <w:pPr>
        <w:numPr>
          <w:ilvl w:val="0"/>
          <w:numId w:val="0"/>
        </w:numPr>
        <w:rPr>
          <w:rFonts w:hint="default" w:ascii="宋体" w:hAnsi="宋体" w:eastAsia="宋体"/>
          <w:sz w:val="24"/>
          <w:szCs w:val="24"/>
          <w:lang w:val="en-US" w:eastAsia="zh-CN"/>
        </w:rPr>
      </w:pPr>
      <w:r>
        <w:rPr>
          <w:rFonts w:hint="default" w:ascii="宋体" w:hAnsi="宋体" w:eastAsia="宋体"/>
          <w:sz w:val="24"/>
          <w:szCs w:val="24"/>
          <w:lang w:val="en-US" w:eastAsia="zh-CN"/>
        </w:rPr>
        <w:t>结算：实际结算金额 = 实际测评二级次数 × 二级单次单价 + 实际测评三级次数 × 三级单次单价</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F0BE9"/>
    <w:multiLevelType w:val="singleLevel"/>
    <w:tmpl w:val="AFDF0BE9"/>
    <w:lvl w:ilvl="0" w:tentative="0">
      <w:start w:val="1"/>
      <w:numFmt w:val="decimal"/>
      <w:suff w:val="space"/>
      <w:lvlText w:val="%1."/>
      <w:lvlJc w:val="left"/>
    </w:lvl>
  </w:abstractNum>
  <w:abstractNum w:abstractNumId="1">
    <w:nsid w:val="E6AC213B"/>
    <w:multiLevelType w:val="singleLevel"/>
    <w:tmpl w:val="E6AC213B"/>
    <w:lvl w:ilvl="0" w:tentative="0">
      <w:start w:val="1"/>
      <w:numFmt w:val="decimal"/>
      <w:pStyle w:val="4"/>
      <w:lvlText w:val="%1."/>
      <w:lvlJc w:val="left"/>
      <w:pPr>
        <w:ind w:left="425" w:hanging="425"/>
      </w:pPr>
      <w:rPr>
        <w:rFonts w:hint="default"/>
      </w:rPr>
    </w:lvl>
  </w:abstractNum>
  <w:abstractNum w:abstractNumId="2">
    <w:nsid w:val="FAA24B06"/>
    <w:multiLevelType w:val="singleLevel"/>
    <w:tmpl w:val="FAA24B06"/>
    <w:lvl w:ilvl="0" w:tentative="0">
      <w:start w:val="1"/>
      <w:numFmt w:val="chineseCounting"/>
      <w:pStyle w:val="2"/>
      <w:suff w:val="nothing"/>
      <w:lvlText w:val="%1、"/>
      <w:lvlJc w:val="left"/>
      <w:pPr>
        <w:tabs>
          <w:tab w:val="left" w:pos="0"/>
        </w:tabs>
        <w:ind w:left="1120" w:firstLine="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E2DB6"/>
    <w:rsid w:val="00013122"/>
    <w:rsid w:val="00033A78"/>
    <w:rsid w:val="0004065B"/>
    <w:rsid w:val="00070F7D"/>
    <w:rsid w:val="000759E8"/>
    <w:rsid w:val="00091502"/>
    <w:rsid w:val="00093CAB"/>
    <w:rsid w:val="000A45CE"/>
    <w:rsid w:val="000C3CE5"/>
    <w:rsid w:val="000C7872"/>
    <w:rsid w:val="00100B05"/>
    <w:rsid w:val="00132509"/>
    <w:rsid w:val="001722B0"/>
    <w:rsid w:val="001A2597"/>
    <w:rsid w:val="002071D3"/>
    <w:rsid w:val="002130C5"/>
    <w:rsid w:val="002248C8"/>
    <w:rsid w:val="00243F5A"/>
    <w:rsid w:val="00273BDF"/>
    <w:rsid w:val="002A6D00"/>
    <w:rsid w:val="002D73F5"/>
    <w:rsid w:val="003246C3"/>
    <w:rsid w:val="00353690"/>
    <w:rsid w:val="00385371"/>
    <w:rsid w:val="003A7BAA"/>
    <w:rsid w:val="003D6EFA"/>
    <w:rsid w:val="003F2134"/>
    <w:rsid w:val="0047360D"/>
    <w:rsid w:val="00483600"/>
    <w:rsid w:val="00542CEF"/>
    <w:rsid w:val="005822C5"/>
    <w:rsid w:val="00592FF2"/>
    <w:rsid w:val="005B4BAF"/>
    <w:rsid w:val="00604535"/>
    <w:rsid w:val="00613969"/>
    <w:rsid w:val="006828C7"/>
    <w:rsid w:val="007042E6"/>
    <w:rsid w:val="0072116A"/>
    <w:rsid w:val="0073673C"/>
    <w:rsid w:val="00760E69"/>
    <w:rsid w:val="00775FAD"/>
    <w:rsid w:val="00785751"/>
    <w:rsid w:val="00796B90"/>
    <w:rsid w:val="007D1B48"/>
    <w:rsid w:val="007F78F2"/>
    <w:rsid w:val="008027DF"/>
    <w:rsid w:val="00806F5C"/>
    <w:rsid w:val="00821A73"/>
    <w:rsid w:val="00850693"/>
    <w:rsid w:val="008D6D71"/>
    <w:rsid w:val="00921464"/>
    <w:rsid w:val="009379B5"/>
    <w:rsid w:val="009F4EDC"/>
    <w:rsid w:val="00A017DF"/>
    <w:rsid w:val="00A261CE"/>
    <w:rsid w:val="00A90A79"/>
    <w:rsid w:val="00AD613E"/>
    <w:rsid w:val="00AE695B"/>
    <w:rsid w:val="00AF72A1"/>
    <w:rsid w:val="00BB0BF8"/>
    <w:rsid w:val="00BB3BD9"/>
    <w:rsid w:val="00BB4D45"/>
    <w:rsid w:val="00C239DF"/>
    <w:rsid w:val="00CC4FA1"/>
    <w:rsid w:val="00CD6D13"/>
    <w:rsid w:val="00D43B8C"/>
    <w:rsid w:val="00D66EF9"/>
    <w:rsid w:val="00D840B1"/>
    <w:rsid w:val="00D93A38"/>
    <w:rsid w:val="00DF6EF0"/>
    <w:rsid w:val="00E4319E"/>
    <w:rsid w:val="00E747B5"/>
    <w:rsid w:val="00E777B0"/>
    <w:rsid w:val="00E81519"/>
    <w:rsid w:val="00EA1368"/>
    <w:rsid w:val="00EB3A89"/>
    <w:rsid w:val="00ED4716"/>
    <w:rsid w:val="00EE58E1"/>
    <w:rsid w:val="00F374F6"/>
    <w:rsid w:val="00F72045"/>
    <w:rsid w:val="00F84BB6"/>
    <w:rsid w:val="00FC4244"/>
    <w:rsid w:val="031313AA"/>
    <w:rsid w:val="055963F6"/>
    <w:rsid w:val="063D46F2"/>
    <w:rsid w:val="077F1394"/>
    <w:rsid w:val="0BA709CC"/>
    <w:rsid w:val="0F971788"/>
    <w:rsid w:val="139447E2"/>
    <w:rsid w:val="14142F81"/>
    <w:rsid w:val="16D37260"/>
    <w:rsid w:val="17C26585"/>
    <w:rsid w:val="18AD1325"/>
    <w:rsid w:val="1CE01C8B"/>
    <w:rsid w:val="2CFC34EA"/>
    <w:rsid w:val="35C437DB"/>
    <w:rsid w:val="3FDC71D0"/>
    <w:rsid w:val="456E2DB6"/>
    <w:rsid w:val="46F95B15"/>
    <w:rsid w:val="49706721"/>
    <w:rsid w:val="4CDA768D"/>
    <w:rsid w:val="4E246373"/>
    <w:rsid w:val="55240AC3"/>
    <w:rsid w:val="57F873A0"/>
    <w:rsid w:val="5C15444D"/>
    <w:rsid w:val="5C96714C"/>
    <w:rsid w:val="5FF23CE4"/>
    <w:rsid w:val="769B0BC3"/>
    <w:rsid w:val="7C7F43D8"/>
    <w:rsid w:val="7D972FF0"/>
    <w:rsid w:val="7E3437B0"/>
    <w:rsid w:val="EEB7AA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16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16"/>
    <w:qFormat/>
    <w:uiPriority w:val="0"/>
    <w:pPr>
      <w:widowControl w:val="0"/>
      <w:numPr>
        <w:ilvl w:val="0"/>
        <w:numId w:val="1"/>
      </w:numPr>
      <w:wordWrap w:val="0"/>
      <w:topLinePunct/>
      <w:spacing w:line="360" w:lineRule="auto"/>
      <w:ind w:left="0"/>
      <w:outlineLvl w:val="0"/>
    </w:pPr>
    <w:rPr>
      <w:rFonts w:ascii="宋体" w:hAnsi="宋体" w:eastAsia="宋体" w:cs="宋体"/>
      <w:b/>
      <w:kern w:val="44"/>
      <w:sz w:val="24"/>
      <w:szCs w:val="24"/>
      <w:lang w:bidi="en-US"/>
    </w:rPr>
  </w:style>
  <w:style w:type="paragraph" w:styleId="3">
    <w:name w:val="heading 2"/>
    <w:basedOn w:val="1"/>
    <w:next w:val="1"/>
    <w:link w:val="17"/>
    <w:semiHidden/>
    <w:unhideWhenUsed/>
    <w:qFormat/>
    <w:uiPriority w:val="0"/>
    <w:pPr>
      <w:ind w:firstLine="723" w:firstLineChars="200"/>
      <w:outlineLvl w:val="1"/>
    </w:pPr>
    <w:rPr>
      <w:rFonts w:ascii="宋体" w:hAnsi="宋体" w:eastAsia="宋体" w:cs="宋体"/>
      <w:b/>
      <w:szCs w:val="28"/>
    </w:rPr>
  </w:style>
  <w:style w:type="paragraph" w:styleId="4">
    <w:name w:val="heading 3"/>
    <w:basedOn w:val="1"/>
    <w:next w:val="1"/>
    <w:link w:val="18"/>
    <w:semiHidden/>
    <w:unhideWhenUsed/>
    <w:qFormat/>
    <w:uiPriority w:val="0"/>
    <w:pPr>
      <w:keepNext/>
      <w:keepLines/>
      <w:numPr>
        <w:ilvl w:val="0"/>
        <w:numId w:val="2"/>
      </w:numPr>
      <w:spacing w:line="360" w:lineRule="auto"/>
      <w:outlineLvl w:val="2"/>
    </w:pPr>
    <w:rPr>
      <w:rFonts w:eastAsia="宋体" w:cs="宋体"/>
      <w:b/>
      <w:szCs w:val="28"/>
    </w:rPr>
  </w:style>
  <w:style w:type="paragraph" w:styleId="5">
    <w:name w:val="heading 4"/>
    <w:basedOn w:val="1"/>
    <w:next w:val="1"/>
    <w:link w:val="19"/>
    <w:semiHidden/>
    <w:unhideWhenUsed/>
    <w:qFormat/>
    <w:uiPriority w:val="0"/>
    <w:pPr>
      <w:keepNext/>
      <w:keepLines/>
      <w:spacing w:before="280" w:after="290" w:line="372" w:lineRule="auto"/>
      <w:outlineLvl w:val="3"/>
    </w:pPr>
    <w:rPr>
      <w:rFonts w:eastAsia="黑体"/>
      <w:b/>
      <w:sz w:val="28"/>
    </w:rPr>
  </w:style>
  <w:style w:type="character" w:default="1" w:styleId="14">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ind w:firstLine="420" w:firstLineChars="200"/>
    </w:pPr>
    <w:rPr>
      <w:rFonts w:asciiTheme="minorHAnsi" w:hAnsiTheme="minorHAnsi" w:cstheme="minorBidi"/>
      <w:kern w:val="2"/>
    </w:rPr>
  </w:style>
  <w:style w:type="paragraph" w:styleId="7">
    <w:name w:val="Body Text"/>
    <w:basedOn w:val="1"/>
    <w:next w:val="1"/>
    <w:unhideWhenUsed/>
    <w:qFormat/>
    <w:uiPriority w:val="99"/>
    <w:pPr>
      <w:spacing w:after="120"/>
    </w:pPr>
  </w:style>
  <w:style w:type="paragraph" w:styleId="8">
    <w:name w:val="Body Text Indent"/>
    <w:basedOn w:val="1"/>
    <w:link w:val="25"/>
    <w:qFormat/>
    <w:uiPriority w:val="0"/>
    <w:pPr>
      <w:spacing w:after="0" w:line="360" w:lineRule="auto"/>
      <w:ind w:firstLine="480" w:firstLineChars="200"/>
      <w:jc w:val="both"/>
    </w:pPr>
    <w:rPr>
      <w:rFonts w:ascii="宋体" w:hAnsi="宋体" w:eastAsia="宋体" w:cs="宋体"/>
      <w:sz w:val="24"/>
      <w:szCs w:val="24"/>
    </w:rPr>
  </w:style>
  <w:style w:type="paragraph" w:styleId="9">
    <w:name w:val="footer"/>
    <w:basedOn w:val="1"/>
    <w:link w:val="21"/>
    <w:qFormat/>
    <w:uiPriority w:val="0"/>
    <w:pPr>
      <w:tabs>
        <w:tab w:val="center" w:pos="4153"/>
        <w:tab w:val="right" w:pos="8306"/>
      </w:tabs>
    </w:pPr>
    <w:rPr>
      <w:sz w:val="18"/>
      <w:szCs w:val="18"/>
    </w:rPr>
  </w:style>
  <w:style w:type="paragraph" w:styleId="10">
    <w:name w:val="header"/>
    <w:basedOn w:val="1"/>
    <w:link w:val="20"/>
    <w:qFormat/>
    <w:uiPriority w:val="0"/>
    <w:pPr>
      <w:tabs>
        <w:tab w:val="center" w:pos="4153"/>
        <w:tab w:val="right" w:pos="8306"/>
      </w:tabs>
      <w:jc w:val="center"/>
    </w:pPr>
    <w:rPr>
      <w:sz w:val="18"/>
      <w:szCs w:val="18"/>
    </w:rPr>
  </w:style>
  <w:style w:type="paragraph" w:styleId="11">
    <w:name w:val="Title"/>
    <w:basedOn w:val="1"/>
    <w:next w:val="1"/>
    <w:link w:val="22"/>
    <w:qFormat/>
    <w:uiPriority w:val="0"/>
    <w:pPr>
      <w:spacing w:before="240" w:after="60"/>
      <w:jc w:val="center"/>
      <w:outlineLvl w:val="0"/>
    </w:pPr>
    <w:rPr>
      <w:rFonts w:asciiTheme="majorHAnsi" w:hAnsiTheme="majorHAnsi" w:eastAsiaTheme="majorEastAsia" w:cstheme="majorBidi"/>
      <w:b/>
      <w:bCs/>
      <w:sz w:val="32"/>
      <w:szCs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标题 1 字符"/>
    <w:link w:val="2"/>
    <w:qFormat/>
    <w:uiPriority w:val="0"/>
    <w:rPr>
      <w:rFonts w:ascii="宋体" w:hAnsi="宋体" w:cs="宋体"/>
      <w:b/>
      <w:snapToGrid w:val="0"/>
      <w:color w:val="000000"/>
      <w:kern w:val="44"/>
      <w:sz w:val="24"/>
      <w:szCs w:val="24"/>
      <w:lang w:bidi="en-US"/>
    </w:rPr>
  </w:style>
  <w:style w:type="character" w:customStyle="1" w:styleId="17">
    <w:name w:val="标题 2 字符"/>
    <w:link w:val="3"/>
    <w:qFormat/>
    <w:uiPriority w:val="0"/>
    <w:rPr>
      <w:rFonts w:ascii="宋体" w:hAnsi="宋体" w:eastAsia="宋体" w:cs="宋体"/>
      <w:b/>
      <w:kern w:val="2"/>
      <w:sz w:val="28"/>
      <w:szCs w:val="28"/>
      <w:lang w:val="en-US" w:eastAsia="zh-CN" w:bidi="ar-SA"/>
    </w:rPr>
  </w:style>
  <w:style w:type="character" w:customStyle="1" w:styleId="18">
    <w:name w:val="标题 3 字符"/>
    <w:link w:val="4"/>
    <w:qFormat/>
    <w:uiPriority w:val="0"/>
    <w:rPr>
      <w:rFonts w:eastAsia="宋体" w:cs="宋体"/>
      <w:b/>
      <w:sz w:val="28"/>
      <w:szCs w:val="28"/>
    </w:rPr>
  </w:style>
  <w:style w:type="character" w:customStyle="1" w:styleId="19">
    <w:name w:val="标题 4 字符"/>
    <w:basedOn w:val="14"/>
    <w:link w:val="5"/>
    <w:qFormat/>
    <w:uiPriority w:val="0"/>
    <w:rPr>
      <w:rFonts w:ascii="Calibri Light" w:hAnsi="Calibri Light" w:eastAsia="宋体" w:cs="Times New Roman"/>
      <w:b/>
      <w:bCs/>
      <w:kern w:val="2"/>
      <w:sz w:val="28"/>
      <w:szCs w:val="28"/>
    </w:rPr>
  </w:style>
  <w:style w:type="character" w:customStyle="1" w:styleId="20">
    <w:name w:val="页眉 字符"/>
    <w:basedOn w:val="14"/>
    <w:link w:val="10"/>
    <w:qFormat/>
    <w:uiPriority w:val="0"/>
    <w:rPr>
      <w:rFonts w:ascii="Arial" w:hAnsi="Arial" w:eastAsia="Arial" w:cs="Arial"/>
      <w:snapToGrid w:val="0"/>
      <w:color w:val="000000"/>
      <w:sz w:val="18"/>
      <w:szCs w:val="18"/>
    </w:rPr>
  </w:style>
  <w:style w:type="character" w:customStyle="1" w:styleId="21">
    <w:name w:val="页脚 字符"/>
    <w:basedOn w:val="14"/>
    <w:link w:val="9"/>
    <w:qFormat/>
    <w:uiPriority w:val="0"/>
    <w:rPr>
      <w:rFonts w:ascii="Arial" w:hAnsi="Arial" w:eastAsia="Arial" w:cs="Arial"/>
      <w:snapToGrid w:val="0"/>
      <w:color w:val="000000"/>
      <w:sz w:val="18"/>
      <w:szCs w:val="18"/>
    </w:rPr>
  </w:style>
  <w:style w:type="character" w:customStyle="1" w:styleId="22">
    <w:name w:val="标题 字符"/>
    <w:basedOn w:val="14"/>
    <w:link w:val="11"/>
    <w:qFormat/>
    <w:uiPriority w:val="0"/>
    <w:rPr>
      <w:rFonts w:asciiTheme="majorHAnsi" w:hAnsiTheme="majorHAnsi" w:eastAsiaTheme="majorEastAsia" w:cstheme="majorBidi"/>
      <w:b/>
      <w:bCs/>
      <w:snapToGrid w:val="0"/>
      <w:color w:val="000000"/>
      <w:sz w:val="32"/>
      <w:szCs w:val="32"/>
    </w:rPr>
  </w:style>
  <w:style w:type="paragraph" w:customStyle="1" w:styleId="23">
    <w:name w:val="无间隔1"/>
    <w:basedOn w:val="1"/>
    <w:qFormat/>
    <w:uiPriority w:val="1"/>
    <w:pPr>
      <w:widowControl w:val="0"/>
      <w:kinsoku/>
      <w:autoSpaceDE/>
      <w:autoSpaceDN/>
      <w:adjustRightInd/>
      <w:snapToGrid/>
      <w:spacing w:after="0"/>
      <w:jc w:val="both"/>
      <w:textAlignment w:val="auto"/>
    </w:pPr>
    <w:rPr>
      <w:rFonts w:cs="宋体" w:asciiTheme="minorHAnsi" w:hAnsiTheme="minorHAnsi" w:eastAsiaTheme="minorEastAsia"/>
      <w:snapToGrid/>
      <w:color w:val="auto"/>
      <w:kern w:val="2"/>
      <w:szCs w:val="24"/>
    </w:rPr>
  </w:style>
  <w:style w:type="paragraph" w:styleId="24">
    <w:name w:val="List Paragraph"/>
    <w:basedOn w:val="1"/>
    <w:unhideWhenUsed/>
    <w:qFormat/>
    <w:uiPriority w:val="34"/>
    <w:pPr>
      <w:ind w:firstLine="420" w:firstLineChars="200"/>
    </w:pPr>
  </w:style>
  <w:style w:type="character" w:customStyle="1" w:styleId="25">
    <w:name w:val="正文文本缩进 字符"/>
    <w:basedOn w:val="14"/>
    <w:link w:val="8"/>
    <w:qFormat/>
    <w:uiPriority w:val="0"/>
    <w:rPr>
      <w:rFonts w:ascii="宋体" w:hAnsi="宋体" w:cs="宋体"/>
      <w:snapToGrid w:val="0"/>
      <w:color w:val="00000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421</Words>
  <Characters>604</Characters>
  <Lines>35</Lines>
  <Paragraphs>9</Paragraphs>
  <TotalTime>43</TotalTime>
  <ScaleCrop>false</ScaleCrop>
  <LinksUpToDate>false</LinksUpToDate>
  <CharactersWithSpaces>604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2026-10-28T06:56:00Z</dcterms:created>
  <dc:creator>时小Q</dc:creator>
  <cp:lastModifiedBy>Alisa</cp:lastModifiedBy>
  <cp:lastPrinted>2026-01-19T17:11:00Z</cp:lastPrinted>
  <dcterms:modified xsi:type="dcterms:W3CDTF">2026-11-03T09:58:05Z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31CA4361F5FB4E67AA33EB1104FDFCB1_13</vt:lpwstr>
  </property>
  <property fmtid="{D5CDD505-2E9C-101B-9397-08002B2CF9AE}" pid="4" name="KSOTemplateDocerSaveRecord">
    <vt:lpwstr>eyJoZGlkIjoiNDVlN2MyODgzNDU0OWRjN2ExNzgwMTdlZTM2YjcwMTYiLCJ1c2VySWQiOiI2Mzk2MDIzNDUifQ==</vt:lpwstr>
  </property>
</Properties>
</file>