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1CE1F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color w:val="000000" w:themeColor="text1"/>
          <w:sz w:val="44"/>
          <w:szCs w:val="44"/>
          <w:lang w:val="en-US" w:eastAsia="zh-CN"/>
          <w14:textFill>
            <w14:solidFill>
              <w14:schemeClr w14:val="tx1"/>
            </w14:solidFill>
          </w14:textFill>
        </w:rPr>
        <w:t>贵州医科大学第三附属医院</w:t>
      </w:r>
    </w:p>
    <w:p w14:paraId="7B25768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color w:val="000000" w:themeColor="text1"/>
          <w:sz w:val="44"/>
          <w:szCs w:val="44"/>
          <w:lang w:val="en-US" w:eastAsia="zh-CN"/>
          <w14:textFill>
            <w14:solidFill>
              <w14:schemeClr w14:val="tx1"/>
            </w14:solidFill>
          </w14:textFill>
        </w:rPr>
      </w:pPr>
      <w:bookmarkStart w:id="1" w:name="_GoBack"/>
      <w:bookmarkEnd w:id="1"/>
      <w:r>
        <w:rPr>
          <w:rFonts w:hint="eastAsia" w:ascii="方正小标宋简体" w:hAnsi="方正小标宋简体" w:eastAsia="方正小标宋简体" w:cs="方正小标宋简体"/>
          <w:b/>
          <w:color w:val="000000" w:themeColor="text1"/>
          <w:sz w:val="44"/>
          <w:szCs w:val="44"/>
          <w14:textFill>
            <w14:solidFill>
              <w14:schemeClr w14:val="tx1"/>
            </w14:solidFill>
          </w14:textFill>
        </w:rPr>
        <w:t>住院医师规范化培训电子信息管理系统使用服务</w:t>
      </w:r>
      <w:r>
        <w:rPr>
          <w:rFonts w:hint="eastAsia" w:ascii="方正小标宋简体" w:hAnsi="方正小标宋简体" w:eastAsia="方正小标宋简体" w:cs="方正小标宋简体"/>
          <w:b/>
          <w:color w:val="000000" w:themeColor="text1"/>
          <w:sz w:val="44"/>
          <w:szCs w:val="44"/>
          <w:lang w:val="en-US" w:eastAsia="zh-CN"/>
          <w14:textFill>
            <w14:solidFill>
              <w14:schemeClr w14:val="tx1"/>
            </w14:solidFill>
          </w14:textFill>
        </w:rPr>
        <w:t>需求</w:t>
      </w:r>
    </w:p>
    <w:p w14:paraId="5F98CB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4745A3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1.教学平台总体要求：需包含临床教学管理系统、医学考试系统</w:t>
      </w:r>
      <w:r>
        <w:rPr>
          <w:rFonts w:hint="eastAsia" w:ascii="仿宋_GB2312" w:hAnsi="仿宋_GB2312" w:eastAsia="仿宋_GB2312" w:cs="仿宋_GB2312"/>
          <w:sz w:val="32"/>
          <w:szCs w:val="32"/>
          <w:lang w:eastAsia="zh-CN"/>
        </w:rPr>
        <w:t>。</w:t>
      </w:r>
    </w:p>
    <w:p w14:paraId="50DC41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平台基于B/S网络架构，WEB网页系统操作，客户端通过浏览器即可完成相关业务操作。多终端应用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支持PC端、APP端（支持Android和IOS）、微信端应用，不同终端设备操作数据可同步，随时随地均可上线访问服务器进行操作。</w:t>
      </w:r>
    </w:p>
    <w:p w14:paraId="760AB8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支持1000个以上客户端同时上线访问服务器，并扩展到无限个客户端接入，支持教学管理一体化平台的系统扩展和功能延伸；支持多个教学管理系统的用户和用户组权限统一设置维护；支持各教学管理模块和系统间数据无缝对接、兼容、共享，支持所有系统模块运行在统一的教学管理一体化平台，</w:t>
      </w:r>
      <w:r>
        <w:rPr>
          <w:rFonts w:hint="eastAsia" w:ascii="仿宋_GB2312" w:hAnsi="仿宋_GB2312" w:eastAsia="仿宋_GB2312" w:cs="仿宋_GB2312"/>
          <w:sz w:val="32"/>
          <w:szCs w:val="32"/>
          <w:lang w:eastAsia="zh-CN"/>
        </w:rPr>
        <w:t>实现基础数据共同维护、权限统一管理，实现</w:t>
      </w:r>
      <w:r>
        <w:rPr>
          <w:rFonts w:hint="eastAsia" w:ascii="仿宋_GB2312" w:hAnsi="仿宋_GB2312" w:eastAsia="仿宋_GB2312" w:cs="仿宋_GB2312"/>
          <w:sz w:val="32"/>
          <w:szCs w:val="32"/>
        </w:rPr>
        <w:t>所有教学过程数据统计分析的结果可视化。</w:t>
      </w:r>
    </w:p>
    <w:p w14:paraId="4CBD49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临床教学管理系统至少需包括招录管理、轮转管理、出入科管理、教学活动管理、考勤管理、绩效管理、学员及师资档案管理、成绩管理、轮转登记手册管理、结业管理、住宿管理、360评估等功能。</w:t>
      </w:r>
    </w:p>
    <w:p w14:paraId="6EE97B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支持在系统中配置多种学员类别，支持将住培生、实习生、进修生、本科生等多种学员类别融合在一套系统中进行统一管理。支持为管理人员配置不同的责任管理学员类别，方便科教管理部门不同人员分开管理各类学员。</w:t>
      </w:r>
    </w:p>
    <w:p w14:paraId="67B725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0" w:name="_Hlk172084078"/>
      <w:r>
        <w:rPr>
          <w:rFonts w:hint="eastAsia" w:ascii="仿宋_GB2312" w:hAnsi="仿宋_GB2312" w:eastAsia="仿宋_GB2312" w:cs="仿宋_GB2312"/>
          <w:sz w:val="32"/>
          <w:szCs w:val="32"/>
        </w:rPr>
        <w:t>●</w:t>
      </w:r>
      <w:bookmarkEnd w:id="0"/>
      <w:r>
        <w:rPr>
          <w:rFonts w:hint="eastAsia" w:ascii="仿宋_GB2312" w:hAnsi="仿宋_GB2312" w:eastAsia="仿宋_GB2312" w:cs="仿宋_GB2312"/>
          <w:sz w:val="32"/>
          <w:szCs w:val="32"/>
        </w:rPr>
        <w:t>4.2.科室管理支持树形多层级结构分布，科室树结构至少支持到5层。可将科室分成多个带教组，可设置轮转容量，发布科室介绍，允许一个科室秘书管理多个不同科室。支持为管理人员配置不同的分管科室，方便管理不同的科室及人员。</w:t>
      </w:r>
    </w:p>
    <w:p w14:paraId="194E83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4.3.支持创建自定义角色，可设置和管理不同角色的权限和功能。至少支持设置住培管理员、科教干事、科室主任、教学主任、科室秘书、带教老师等管理角色，支持设置不同的学员角色，支持设置</w:t>
      </w:r>
      <w:r>
        <w:rPr>
          <w:rFonts w:hint="eastAsia" w:ascii="仿宋_GB2312" w:hAnsi="仿宋_GB2312" w:eastAsia="仿宋_GB2312" w:cs="仿宋_GB2312"/>
          <w:sz w:val="32"/>
          <w:szCs w:val="32"/>
          <w:lang w:eastAsia="zh-CN"/>
        </w:rPr>
        <w:t>是否为</w:t>
      </w:r>
      <w:r>
        <w:rPr>
          <w:rFonts w:hint="eastAsia" w:ascii="仿宋_GB2312" w:hAnsi="仿宋_GB2312" w:eastAsia="仿宋_GB2312" w:cs="仿宋_GB2312"/>
          <w:sz w:val="32"/>
          <w:szCs w:val="32"/>
        </w:rPr>
        <w:t>责任导师。支持按自定义角色配置手机端显示的功能，支持按自定义角色配置电脑管理端显示的菜单。</w:t>
      </w:r>
    </w:p>
    <w:p w14:paraId="70DB53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4.4.支持账号锁定功能，可设定是否开启锁定，支持未及时申请出科、未及时出科鉴定等多种账号自动锁定的控制功能。</w:t>
      </w:r>
    </w:p>
    <w:p w14:paraId="0A5139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●4.5.支持配置各类提醒功能的</w:t>
      </w:r>
      <w:r>
        <w:rPr>
          <w:rFonts w:hint="eastAsia" w:ascii="仿宋_GB2312" w:hAnsi="仿宋_GB2312" w:eastAsia="仿宋_GB2312" w:cs="仿宋_GB2312"/>
          <w:sz w:val="32"/>
          <w:szCs w:val="32"/>
          <w:lang w:eastAsia="zh-CN"/>
        </w:rPr>
        <w:t>开关</w:t>
      </w:r>
      <w:r>
        <w:rPr>
          <w:rFonts w:hint="eastAsia" w:ascii="仿宋_GB2312" w:hAnsi="仿宋_GB2312" w:eastAsia="仿宋_GB2312" w:cs="仿宋_GB2312"/>
          <w:sz w:val="32"/>
          <w:szCs w:val="32"/>
        </w:rPr>
        <w:t>状态，配置是发送短信提醒还是微信提醒，</w:t>
      </w:r>
      <w:r>
        <w:rPr>
          <w:rFonts w:hint="eastAsia" w:ascii="仿宋_GB2312" w:hAnsi="仿宋_GB2312" w:eastAsia="仿宋_GB2312" w:cs="仿宋_GB2312"/>
          <w:sz w:val="32"/>
          <w:szCs w:val="32"/>
          <w:lang w:eastAsia="zh-CN"/>
        </w:rPr>
        <w:t>抑或</w:t>
      </w:r>
      <w:r>
        <w:rPr>
          <w:rFonts w:hint="eastAsia" w:ascii="仿宋_GB2312" w:hAnsi="仿宋_GB2312" w:eastAsia="仿宋_GB2312" w:cs="仿宋_GB2312"/>
          <w:sz w:val="32"/>
          <w:szCs w:val="32"/>
        </w:rPr>
        <w:t>手机端红点提醒。需要支持对学员、带教老师、科室秘书等多种角色进行提醒。支持微信服务通知模式，支持教学活动、考勤、出科申请等至少15种业务的微信通知服务，是否使用微信通知可逐项开关设置</w:t>
      </w:r>
      <w:r>
        <w:rPr>
          <w:rFonts w:hint="eastAsia" w:ascii="仿宋_GB2312" w:hAnsi="仿宋_GB2312" w:eastAsia="仿宋_GB2312" w:cs="仿宋_GB2312"/>
          <w:sz w:val="32"/>
          <w:szCs w:val="32"/>
          <w:lang w:eastAsia="zh-CN"/>
        </w:rPr>
        <w:t>启用或</w:t>
      </w:r>
      <w:r>
        <w:rPr>
          <w:rFonts w:hint="eastAsia" w:ascii="仿宋_GB2312" w:hAnsi="仿宋_GB2312" w:eastAsia="仿宋_GB2312" w:cs="仿宋_GB2312"/>
          <w:sz w:val="32"/>
          <w:szCs w:val="32"/>
        </w:rPr>
        <w:t>停用状态。</w:t>
      </w:r>
    </w:p>
    <w:p w14:paraId="320F66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4.6. 根据不同的角色在首页显示不同的待办工作，应包含今日日程、待办工作、审核待办功能，方便管理人员及时掌握自己应处理的工作事项。</w:t>
      </w:r>
    </w:p>
    <w:p w14:paraId="39BF17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●4.7.支持最新版基地评估指标要求中关于培训基地网站需要有住培专栏的要求，支持在科教、科室门户专栏模块中发布国家、地方及基地住培相关政策制度宣传文案、政策等各类信息动态</w:t>
      </w:r>
      <w:r>
        <w:rPr>
          <w:rFonts w:hint="eastAsia" w:ascii="仿宋_GB2312" w:hAnsi="仿宋_GB2312" w:eastAsia="仿宋_GB2312" w:cs="仿宋_GB2312"/>
          <w:sz w:val="32"/>
          <w:szCs w:val="32"/>
          <w:lang w:eastAsia="zh-CN"/>
        </w:rPr>
        <w:t>。</w:t>
      </w:r>
    </w:p>
    <w:p w14:paraId="0F284F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4.8.成绩管理支持登记学员各类平时成绩，可单独登记学员年度考核、季度考核、月度考核分项成绩，支持单独登记执业医师资格证考试成绩，支持自定义分类考试成绩登记。</w:t>
      </w:r>
    </w:p>
    <w:p w14:paraId="0C4320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4.9. 档案管理支持管理部门批量导出多学员的照片附件，批量导出的人员名单可筛选范围，导出的压缩包文件中包含的照片文件名需支持管理人员自定义。</w:t>
      </w:r>
    </w:p>
    <w:p w14:paraId="19086F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支持学员档案</w:t>
      </w:r>
      <w:r>
        <w:rPr>
          <w:rFonts w:hint="eastAsia" w:ascii="仿宋_GB2312" w:hAnsi="仿宋_GB2312" w:eastAsia="仿宋_GB2312" w:cs="仿宋_GB2312"/>
          <w:sz w:val="32"/>
          <w:szCs w:val="32"/>
          <w:lang w:eastAsia="zh-CN"/>
        </w:rPr>
        <w:t>生涯汇总</w:t>
      </w:r>
      <w:r>
        <w:rPr>
          <w:rFonts w:hint="eastAsia" w:ascii="仿宋_GB2312" w:hAnsi="仿宋_GB2312" w:eastAsia="仿宋_GB2312" w:cs="仿宋_GB2312"/>
          <w:sz w:val="32"/>
          <w:szCs w:val="32"/>
        </w:rPr>
        <w:t>页面，在一个页面中显示学员档案综合信息。支持将学员档案直接导出生成在一份word文档中，该文档需包含学员的完整轮转生涯，以及参加的教学活动清单。</w:t>
      </w:r>
    </w:p>
    <w:p w14:paraId="5C0A7C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4.10.</w:t>
      </w:r>
      <w:r>
        <w:rPr>
          <w:rFonts w:hint="eastAsia" w:ascii="仿宋_GB2312" w:hAnsi="仿宋_GB2312" w:eastAsia="仿宋_GB2312" w:cs="仿宋_GB2312"/>
          <w:color w:val="000000" w:themeColor="text1"/>
          <w:sz w:val="32"/>
          <w:szCs w:val="32"/>
          <w14:textFill>
            <w14:solidFill>
              <w14:schemeClr w14:val="tx1"/>
            </w14:solidFill>
          </w14:textFill>
        </w:rPr>
        <w:t>轮转管理内置国家轮转大纲及细则模块，支持不同参培年份的学员使用不同标准，可适配国家、</w:t>
      </w:r>
      <w:r>
        <w:rPr>
          <w:rFonts w:hint="eastAsia" w:ascii="仿宋_GB2312" w:hAnsi="仿宋_GB2312" w:eastAsia="仿宋_GB2312" w:cs="仿宋_GB2312"/>
          <w:color w:val="000000" w:themeColor="text1"/>
          <w:sz w:val="32"/>
          <w:szCs w:val="32"/>
          <w:lang w:eastAsia="zh-CN"/>
          <w14:textFill>
            <w14:solidFill>
              <w14:schemeClr w14:val="tx1"/>
            </w14:solidFill>
          </w14:textFill>
        </w:rPr>
        <w:t>省级</w:t>
      </w:r>
      <w:r>
        <w:rPr>
          <w:rFonts w:hint="eastAsia" w:ascii="仿宋_GB2312" w:hAnsi="仿宋_GB2312" w:eastAsia="仿宋_GB2312" w:cs="仿宋_GB2312"/>
          <w:color w:val="000000" w:themeColor="text1"/>
          <w:sz w:val="32"/>
          <w:szCs w:val="32"/>
          <w14:textFill>
            <w14:solidFill>
              <w14:schemeClr w14:val="tx1"/>
            </w14:solidFill>
          </w14:textFill>
        </w:rPr>
        <w:t>自定义培训细则内容。系统内置西医2022国家标准、西医2014国家标准、西医2020重症医学科标准、西医2020助理全科国家标准、西医2019全科标准、西医2019全科转岗标准。</w:t>
      </w:r>
    </w:p>
    <w:p w14:paraId="21FA95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●4.11.轮转管理支持智能排班：系统内置智能</w:t>
      </w:r>
      <w:r>
        <w:rPr>
          <w:rFonts w:hint="eastAsia" w:ascii="仿宋_GB2312" w:hAnsi="仿宋_GB2312" w:eastAsia="仿宋_GB2312" w:cs="仿宋_GB2312"/>
          <w:sz w:val="32"/>
          <w:szCs w:val="32"/>
          <w:lang w:eastAsia="zh-CN"/>
        </w:rPr>
        <w:t>排班</w:t>
      </w:r>
      <w:r>
        <w:rPr>
          <w:rFonts w:hint="eastAsia" w:ascii="仿宋_GB2312" w:hAnsi="仿宋_GB2312" w:eastAsia="仿宋_GB2312" w:cs="仿宋_GB2312"/>
          <w:sz w:val="32"/>
          <w:szCs w:val="32"/>
        </w:rPr>
        <w:t>模块，支持按周/半月/月进行轮转排班；支持结合轮转排班模板、科室负载情况自动排班。支持排班结果微调后再发布，支持备份/还原/调整排班结果，支持批量调整后一次性发布。</w:t>
      </w:r>
    </w:p>
    <w:p w14:paraId="271F70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支持按专业创建单独的轮转排班模板，支持多专业同时排班。支持轮转计划批量导入，支持横排轮转计划格式导入，支持竖排轮转计划格式导入，支持导入时由用户自行选择是否</w:t>
      </w:r>
      <w:r>
        <w:rPr>
          <w:rFonts w:hint="eastAsia" w:ascii="仿宋_GB2312" w:hAnsi="仿宋_GB2312" w:eastAsia="仿宋_GB2312" w:cs="仿宋_GB2312"/>
          <w:sz w:val="32"/>
          <w:szCs w:val="32"/>
          <w:lang w:eastAsia="zh-CN"/>
        </w:rPr>
        <w:t>覆盖</w:t>
      </w:r>
      <w:r>
        <w:rPr>
          <w:rFonts w:hint="eastAsia" w:ascii="仿宋_GB2312" w:hAnsi="仿宋_GB2312" w:eastAsia="仿宋_GB2312" w:cs="仿宋_GB2312"/>
          <w:sz w:val="32"/>
          <w:szCs w:val="32"/>
        </w:rPr>
        <w:t>或清除，支持导入时由用户自行确定是否需要合并相同的轮转计划为一条。支持按周、按半月、按月、分阶段生成或导入轮转计划。支持开关配置是否允许学员或带教老师看到未来的轮转计划。支持查看轮转计划的所有变动历史记录。支持将一批轮转计划归组到一个轮转表，支持轮转计划拆分、合并。支持微调轮转计划，通过上下移或拖拽方式进行调整，支持批量生效，微调完毕未保存之前即可预查询调整后产生的效果，体现对科室轮转人数及是否超容量的影响。支持轮转计划拆分、合并。</w:t>
      </w:r>
    </w:p>
    <w:p w14:paraId="018E26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4.12.</w:t>
      </w:r>
      <w:r>
        <w:rPr>
          <w:rFonts w:hint="eastAsia" w:ascii="仿宋_GB2312" w:hAnsi="仿宋_GB2312" w:eastAsia="仿宋_GB2312" w:cs="仿宋_GB2312"/>
          <w:sz w:val="32"/>
          <w:szCs w:val="32"/>
          <w:lang w:eastAsia="zh-CN"/>
        </w:rPr>
        <w:t xml:space="preserve"> 出</w:t>
      </w:r>
      <w:r>
        <w:rPr>
          <w:rFonts w:hint="eastAsia" w:ascii="仿宋_GB2312" w:hAnsi="仿宋_GB2312" w:eastAsia="仿宋_GB2312" w:cs="仿宋_GB2312"/>
          <w:sz w:val="32"/>
          <w:szCs w:val="32"/>
        </w:rPr>
        <w:t>科管理支持自行配置出科的各类成绩项，可设置成绩项是否使用、是否必填才允许出科。支持设置成绩项权重，支持按权重自动计算出科总成绩。支持设置自定义成绩项，学员综合成绩只显示启用的成绩项，出科鉴定表能直观实时体现自定义成绩项</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rPr>
        <w:t>每个成绩项都可以上传佐证附件，并支持上传多个附件。</w:t>
      </w:r>
    </w:p>
    <w:p w14:paraId="0CEA75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4.13. 轮转登记手册管理支持学员自行登录管理后台维护和管理电子轮转手册，支持自行录入和批量导入电子轮转手册记录，支持学员直接查看轮转是否已经达到国家轮转大纲及细则规定的数量要求，支持直接查看国家轮转大纲及细则的手册。支持批量导出学员的全部轮转记录为一份Word</w:t>
      </w:r>
      <w:r>
        <w:rPr>
          <w:rFonts w:hint="eastAsia" w:ascii="仿宋_GB2312" w:hAnsi="仿宋_GB2312" w:eastAsia="仿宋_GB2312" w:cs="仿宋_GB2312"/>
          <w:sz w:val="32"/>
          <w:szCs w:val="32"/>
          <w:lang w:eastAsia="zh-CN"/>
        </w:rPr>
        <w:t>文档，</w:t>
      </w:r>
      <w:r>
        <w:rPr>
          <w:rFonts w:hint="eastAsia" w:ascii="仿宋_GB2312" w:hAnsi="仿宋_GB2312" w:eastAsia="仿宋_GB2312" w:cs="仿宋_GB2312"/>
          <w:sz w:val="32"/>
          <w:szCs w:val="32"/>
        </w:rPr>
        <w:t>用于向相关单位申请结业。导出的具体章节内容可自行选择，至少应包含出科申请、出科小结、带教评语、出科考核结果、过程记录、教学活动记录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出科附件、病历书写照片等，支持自行选择是否导出全部轮转记录。</w:t>
      </w:r>
    </w:p>
    <w:p w14:paraId="422E11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4.14. 轮转管理内置统计报表模块，可按学员、科室、基地等维度统计轮转情况。轮转管理支持老师带教人数、科室/基地/学校轮转人数、科室轮转带教天数、带教老师</w:t>
      </w:r>
      <w:r>
        <w:rPr>
          <w:rFonts w:hint="eastAsia" w:ascii="仿宋_GB2312" w:hAnsi="仿宋_GB2312" w:eastAsia="仿宋_GB2312" w:cs="仿宋_GB2312"/>
          <w:sz w:val="32"/>
          <w:szCs w:val="32"/>
          <w:lang w:eastAsia="zh-CN"/>
        </w:rPr>
        <w:t>申请人</w:t>
      </w:r>
      <w:r>
        <w:rPr>
          <w:rFonts w:hint="eastAsia" w:ascii="仿宋_GB2312" w:hAnsi="仿宋_GB2312" w:eastAsia="仿宋_GB2312" w:cs="仿宋_GB2312"/>
          <w:sz w:val="32"/>
          <w:szCs w:val="32"/>
        </w:rPr>
        <w:t>等各类轮转统计报表。支持统计学员登记手册填写的要求数、填写数</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完成率。统计要求需根据树形科室上下级报表统计需要，应支持下级科室的统计数据合并到上级科室数据、下级科室的数据单独体现</w:t>
      </w:r>
      <w:r>
        <w:rPr>
          <w:rFonts w:hint="eastAsia" w:ascii="仿宋_GB2312" w:hAnsi="仿宋_GB2312" w:eastAsia="仿宋_GB2312" w:cs="仿宋_GB2312"/>
          <w:sz w:val="32"/>
          <w:szCs w:val="32"/>
          <w:lang w:eastAsia="zh-CN"/>
        </w:rPr>
        <w:t>且与</w:t>
      </w:r>
      <w:r>
        <w:rPr>
          <w:rFonts w:hint="eastAsia" w:ascii="仿宋_GB2312" w:hAnsi="仿宋_GB2312" w:eastAsia="仿宋_GB2312" w:cs="仿宋_GB2312"/>
          <w:sz w:val="32"/>
          <w:szCs w:val="32"/>
        </w:rPr>
        <w:t>上级科室数据相互独立、上级数据自动虚拟为下一级单列数据</w:t>
      </w:r>
      <w:r>
        <w:rPr>
          <w:rFonts w:hint="eastAsia" w:ascii="仿宋_GB2312" w:hAnsi="仿宋_GB2312" w:eastAsia="仿宋_GB2312" w:cs="仿宋_GB2312"/>
          <w:sz w:val="32"/>
          <w:szCs w:val="32"/>
          <w:lang w:eastAsia="zh-CN"/>
        </w:rPr>
        <w:t>、上级</w:t>
      </w:r>
      <w:r>
        <w:rPr>
          <w:rFonts w:hint="eastAsia" w:ascii="仿宋_GB2312" w:hAnsi="仿宋_GB2312" w:eastAsia="仿宋_GB2312" w:cs="仿宋_GB2312"/>
          <w:sz w:val="32"/>
          <w:szCs w:val="32"/>
        </w:rPr>
        <w:t>数据合并下级所有科室数据等3种统计结果。</w:t>
      </w:r>
    </w:p>
    <w:p w14:paraId="03D15A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●4.15. 教学活动管理中活动类别可配置，支持配置病例讨论、教学查房、小讲课等不同教学活动类别各自的参数，支持自定义教学活动类别对应为国家标准教学活动类别。教学活动类别配合不同的达标计算因子，自动计算达标</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达标计算因子至少应包括签到率要求、现场照片数量要求、测评率要求等。达标教学活动展示时能与普通教学活动有明显区别，引导教学实施部门踊跃举办教学活动。支持全院公示标杆教学活动，并支持对公示活动进行留言及互动。允许选择历史课件，无需</w:t>
      </w:r>
      <w:r>
        <w:rPr>
          <w:rFonts w:hint="eastAsia" w:ascii="仿宋_GB2312" w:hAnsi="仿宋_GB2312" w:eastAsia="仿宋_GB2312" w:cs="仿宋_GB2312"/>
          <w:sz w:val="32"/>
          <w:szCs w:val="32"/>
          <w:lang w:eastAsia="zh-CN"/>
        </w:rPr>
        <w:t>再次</w:t>
      </w:r>
      <w:r>
        <w:rPr>
          <w:rFonts w:hint="eastAsia" w:ascii="仿宋_GB2312" w:hAnsi="仿宋_GB2312" w:eastAsia="仿宋_GB2312" w:cs="仿宋_GB2312"/>
          <w:sz w:val="32"/>
          <w:szCs w:val="32"/>
        </w:rPr>
        <w:t>上传相同课件，提高创建教学活动的速度。支持各类课件和教案直接在线预览，需支持PDF、Word、Excel、PPT文档的在线预览。教学管理支持学员教员参活次数、教学类别次数年报等至少10种不同统计口径的月年报统计报表。支持配置督导专家组，并指定专家组成员。支持批量、随机指定督导专家。支持在线填写整改报告，督导专家可审核并确认整改情况，支持导出督导报告。</w:t>
      </w:r>
    </w:p>
    <w:p w14:paraId="15236B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4.16</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rPr>
        <w:t>考勤管理支持跨天打卡考勤，第一天晚上打卡签到跨到第二天能自动提示签退。支持设置是否允许补考勤，设置每周允许补考勤的次数，设置未排考勤班次时能自由打卡等各类考勤细节控制参数。支持扫码打卡</w:t>
      </w:r>
      <w:r>
        <w:rPr>
          <w:rFonts w:hint="eastAsia" w:ascii="仿宋_GB2312" w:hAnsi="仿宋_GB2312" w:eastAsia="仿宋_GB2312" w:cs="仿宋_GB2312"/>
          <w:sz w:val="32"/>
          <w:szCs w:val="32"/>
          <w:lang w:eastAsia="zh-CN"/>
        </w:rPr>
        <w:t>（支持一天双卡，一天四卡）</w:t>
      </w:r>
      <w:r>
        <w:rPr>
          <w:rFonts w:hint="eastAsia" w:ascii="仿宋_GB2312" w:hAnsi="仿宋_GB2312" w:eastAsia="仿宋_GB2312" w:cs="仿宋_GB2312"/>
          <w:sz w:val="32"/>
          <w:szCs w:val="32"/>
        </w:rPr>
        <w:t>和定位打卡，</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rPr>
        <w:t>根据不同的考勤班次单独为每个班次</w:t>
      </w:r>
      <w:r>
        <w:rPr>
          <w:rFonts w:hint="eastAsia" w:ascii="仿宋_GB2312" w:hAnsi="仿宋_GB2312" w:eastAsia="仿宋_GB2312" w:cs="仿宋_GB2312"/>
          <w:sz w:val="32"/>
          <w:szCs w:val="32"/>
          <w:lang w:eastAsia="zh-CN"/>
        </w:rPr>
        <w:t>设定</w:t>
      </w:r>
      <w:r>
        <w:rPr>
          <w:rFonts w:hint="eastAsia" w:ascii="仿宋_GB2312" w:hAnsi="仿宋_GB2312" w:eastAsia="仿宋_GB2312" w:cs="仿宋_GB2312"/>
          <w:sz w:val="32"/>
          <w:szCs w:val="32"/>
        </w:rPr>
        <w:t>采用扫码打卡还是定位打卡，或者两者都用。</w:t>
      </w:r>
    </w:p>
    <w:p w14:paraId="217144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4.17. 考勤管理支持自定义请假类型，每个请假类型可配置多个请假审核流程，每个流程都支持多角色审核。请假可关联补轮转计划，如果请假时间较长能自动追加请假时的轮转计划，以便达到国家规定的轮转时长要求。支持生成不允许修改的请假单PDF并进行打印。请假单内嵌防伪条形码。可自定义请假审核流程，根据请假天数设置不同的审核人员和审核环节，支持维护请假规定、安全协议等。</w:t>
      </w:r>
    </w:p>
    <w:p w14:paraId="119190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4.18. 宿舍管理支持人员自动分配宿舍，并支持顺序分配、均衡分配等多种分配方式。</w:t>
      </w:r>
    </w:p>
    <w:p w14:paraId="426681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●4.19.</w:t>
      </w:r>
      <w:r>
        <w:rPr>
          <w:rFonts w:hint="eastAsia" w:ascii="仿宋_GB2312" w:hAnsi="仿宋_GB2312" w:eastAsia="仿宋_GB2312" w:cs="仿宋_GB2312"/>
          <w:sz w:val="32"/>
          <w:szCs w:val="32"/>
          <w:lang w:eastAsia="zh-CN"/>
        </w:rPr>
        <w:t xml:space="preserve"> 招录</w:t>
      </w:r>
      <w:r>
        <w:rPr>
          <w:rFonts w:hint="eastAsia" w:ascii="仿宋_GB2312" w:hAnsi="仿宋_GB2312" w:eastAsia="仿宋_GB2312" w:cs="仿宋_GB2312"/>
          <w:sz w:val="32"/>
          <w:szCs w:val="32"/>
        </w:rPr>
        <w:t>管理可配置招录活动时间、内容、标题。可配置招录指标要求。支持配置是否需要上传各类证明材料。可根据配置动态显示和控制是否必传。支持导出的报名表内嵌防伪码，且一人一号。支持生成准考证PDF，准考证内嵌防伪码。</w:t>
      </w:r>
    </w:p>
    <w:p w14:paraId="2E5233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4.20. 360</w:t>
      </w:r>
      <w:r>
        <w:rPr>
          <w:rFonts w:hint="eastAsia" w:ascii="仿宋_GB2312" w:hAnsi="仿宋_GB2312" w:eastAsia="仿宋_GB2312" w:cs="仿宋_GB2312"/>
          <w:sz w:val="32"/>
          <w:szCs w:val="32"/>
        </w:rPr>
        <w:t>评估管理可按简易、标准、高级模式进行配置，系统内评估表分为三类：协会官方、系统推荐和自定义，协会官方为中国医师协会指定指标，系统推荐为系统组建，自定义</w:t>
      </w:r>
      <w:r>
        <w:rPr>
          <w:rFonts w:hint="eastAsia" w:ascii="仿宋_GB2312" w:hAnsi="仿宋_GB2312" w:eastAsia="仿宋_GB2312" w:cs="仿宋_GB2312"/>
          <w:sz w:val="32"/>
          <w:szCs w:val="32"/>
          <w:lang w:eastAsia="zh-CN"/>
        </w:rPr>
        <w:t>由</w:t>
      </w:r>
      <w:r>
        <w:rPr>
          <w:rFonts w:hint="eastAsia" w:ascii="仿宋_GB2312" w:hAnsi="仿宋_GB2312" w:eastAsia="仿宋_GB2312" w:cs="仿宋_GB2312"/>
          <w:sz w:val="32"/>
          <w:szCs w:val="32"/>
        </w:rPr>
        <w:t>基地自行建设，支持不同维度的评估需求。</w:t>
      </w:r>
    </w:p>
    <w:p w14:paraId="27CE8C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4.21.</w:t>
      </w:r>
      <w:r>
        <w:rPr>
          <w:rFonts w:hint="eastAsia" w:ascii="仿宋_GB2312" w:hAnsi="仿宋_GB2312" w:eastAsia="仿宋_GB2312" w:cs="仿宋_GB2312"/>
          <w:sz w:val="32"/>
          <w:szCs w:val="32"/>
          <w:lang w:eastAsia="zh-CN"/>
        </w:rPr>
        <w:t xml:space="preserve"> 360</w:t>
      </w:r>
      <w:r>
        <w:rPr>
          <w:rFonts w:hint="eastAsia" w:ascii="仿宋_GB2312" w:hAnsi="仿宋_GB2312" w:eastAsia="仿宋_GB2312" w:cs="仿宋_GB2312"/>
          <w:sz w:val="32"/>
          <w:szCs w:val="32"/>
        </w:rPr>
        <w:t>评估管理对所有评估关系进行管理，支持自定义评估关系；评估关系共分为三类：互评、单向评估和自评，可选择手动或自动生成评估报告，支持自定义权重，根据不同的评估人所占权重计算得分，生成报告。手机端可查看自己的评估报告。</w:t>
      </w:r>
    </w:p>
    <w:p w14:paraId="4D0F1B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医学考试系统需包括系统及题库，系统需包含教师PC Web端、考生PC端（Web端、客户端）、考生移动端；教师PC Web端需包括题库管理、考试管理、成绩管理、用户管理、角色管理、部门管理等。考生移动端需包括正式考试、考试码考试、能力测评、考试记录、我的错题、我的笔记、我的收藏、系统及自建题库练习等功能。考生PC端需包括统计中心、我的考试、考试记录、系统题库练习、自建题库练习、我的错题、我的收藏、我的纠错、我的笔记等功能。</w:t>
      </w:r>
    </w:p>
    <w:p w14:paraId="3B7736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w:t>
      </w:r>
      <w:r>
        <w:rPr>
          <w:rFonts w:hint="eastAsia" w:ascii="仿宋_GB2312" w:hAnsi="仿宋_GB2312" w:eastAsia="仿宋_GB2312" w:cs="仿宋_GB2312"/>
          <w:sz w:val="32"/>
          <w:szCs w:val="32"/>
          <w:lang w:eastAsia="zh-CN"/>
        </w:rPr>
        <w:t xml:space="preserve"> 需</w:t>
      </w:r>
      <w:r>
        <w:rPr>
          <w:rFonts w:hint="eastAsia" w:ascii="仿宋_GB2312" w:hAnsi="仿宋_GB2312" w:eastAsia="仿宋_GB2312" w:cs="仿宋_GB2312"/>
          <w:sz w:val="32"/>
          <w:szCs w:val="32"/>
        </w:rPr>
        <w:t>至少提供5种组卷方式，包括</w:t>
      </w:r>
      <w:r>
        <w:rPr>
          <w:rFonts w:hint="eastAsia" w:ascii="仿宋_GB2312" w:hAnsi="仿宋_GB2312" w:eastAsia="仿宋_GB2312" w:cs="仿宋_GB2312"/>
          <w:sz w:val="32"/>
          <w:szCs w:val="32"/>
          <w:lang w:eastAsia="zh-CN"/>
        </w:rPr>
        <w:t>但不</w:t>
      </w:r>
      <w:r>
        <w:rPr>
          <w:rFonts w:hint="eastAsia" w:ascii="仿宋_GB2312" w:hAnsi="仿宋_GB2312" w:eastAsia="仿宋_GB2312" w:cs="仿宋_GB2312"/>
          <w:sz w:val="32"/>
          <w:szCs w:val="32"/>
        </w:rPr>
        <w:t>限于手动组卷、自动组卷、随机组卷、智能组卷、以卷组卷功能。可支持按知识点或题型组卷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可跨题库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跨学科、跨专业组卷。</w:t>
      </w:r>
    </w:p>
    <w:p w14:paraId="04DA8A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●5.2.支持批量考务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可以分批次</w:t>
      </w:r>
      <w:r>
        <w:rPr>
          <w:rFonts w:hint="eastAsia" w:ascii="仿宋_GB2312" w:hAnsi="仿宋_GB2312" w:eastAsia="仿宋_GB2312" w:cs="仿宋_GB2312"/>
          <w:sz w:val="32"/>
          <w:szCs w:val="32"/>
          <w:lang w:eastAsia="zh-CN"/>
        </w:rPr>
        <w:t>、科目</w:t>
      </w:r>
      <w:r>
        <w:rPr>
          <w:rFonts w:hint="eastAsia" w:ascii="仿宋_GB2312" w:hAnsi="仿宋_GB2312" w:eastAsia="仿宋_GB2312" w:cs="仿宋_GB2312"/>
          <w:sz w:val="32"/>
          <w:szCs w:val="32"/>
        </w:rPr>
        <w:t>进行考试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批量导出/导入考试信息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批量设置考试时间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批量导出参考人员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批量一键收卷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批量监控考试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考试的启用与停用。可以设置重新考试、加入考生/带入考生/删除考生/导出参考人员、恢复考试、强制交卷/一键收卷功能。</w:t>
      </w:r>
    </w:p>
    <w:p w14:paraId="622F11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5.3需支持抽题排重：题干相似度排重、抽题时间排重、指定试卷排重、随机试卷及份数、支持按比例抽题。试卷和考试支持自定义分类；试卷和考试（考务）独立分开，试卷和考试可各自复用。</w:t>
      </w:r>
    </w:p>
    <w:p w14:paraId="687DDC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●5.4需支持位置定位签到、人脸识别、切屏限制、随机抓拍、绑定设备、答题随机截屏、无操作交卷等</w:t>
      </w:r>
      <w:r>
        <w:rPr>
          <w:rFonts w:hint="eastAsia" w:ascii="仿宋_GB2312" w:hAnsi="仿宋_GB2312" w:eastAsia="仿宋_GB2312" w:cs="仿宋_GB2312"/>
          <w:sz w:val="32"/>
          <w:szCs w:val="32"/>
          <w:lang w:eastAsia="zh-CN"/>
        </w:rPr>
        <w:t>至少</w:t>
      </w:r>
      <w:r>
        <w:rPr>
          <w:rFonts w:hint="eastAsia" w:ascii="仿宋_GB2312" w:hAnsi="仿宋_GB2312" w:eastAsia="仿宋_GB2312" w:cs="仿宋_GB2312"/>
          <w:sz w:val="32"/>
          <w:szCs w:val="32"/>
        </w:rPr>
        <w:t>6种防作弊功能；数据实时存储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支持答一题存一题功能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答题记录实时存储在服务器端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支持异常中断后继续上次答题。</w:t>
      </w:r>
    </w:p>
    <w:p w14:paraId="7AE953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●5.5至少需要包括西医住培题库、执业医师题库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三基题库</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试题总量不低于200万道，其中住培考核题库不低于150万道，医师资格题库不低于30万道，医学三基题库不低于30万道，</w:t>
      </w:r>
      <w:r>
        <w:rPr>
          <w:rFonts w:hint="eastAsia" w:ascii="仿宋_GB2312" w:hAnsi="仿宋_GB2312" w:eastAsia="仿宋_GB2312" w:cs="仿宋_GB2312"/>
          <w:sz w:val="32"/>
          <w:szCs w:val="32"/>
        </w:rPr>
        <w:t>执业医师题库</w:t>
      </w:r>
      <w:r>
        <w:rPr>
          <w:rFonts w:hint="eastAsia" w:ascii="仿宋_GB2312" w:hAnsi="仿宋_GB2312" w:eastAsia="仿宋_GB2312" w:cs="仿宋_GB2312"/>
          <w:sz w:val="32"/>
          <w:szCs w:val="32"/>
          <w:lang w:val="en-US" w:eastAsia="zh-CN"/>
        </w:rPr>
        <w:t>：历年执业医师考试试题及模拟试卷，紧扣执业医师考试大纲，覆盖执业医师考点，与多家院校及基地专家合作，包含各大出版社出版的模拟试卷和模拟习题。医学三基：包括医师、护理、医技等三大题库，内容包括基础医学、临床医学、基本技能、医学人文等，能够满足医院临床三基训练及水平提升的需要。住培考核：根据《住院医师规范化培训内容与标准》设计，紧贴国家住院医师规范化培训考试政策，并及时更新题库，始终保证更新最快，试题最权威。</w:t>
      </w:r>
    </w:p>
    <w:p w14:paraId="231D61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5.6题型全面：支持A1（单项最佳选择题），A2（病例摘要型最佳选择题），A3/A4（病例组型最佳选择题），B型题（标准配伍题），X型题（多项选择题），C型题（综合分析选择题），案例分析题，填空题，判断题，简答题，名词解释题。其中案例分析题在答题时，符合国家考试要求，不能回退作答。</w:t>
      </w:r>
    </w:p>
    <w:p w14:paraId="2C04A1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5.7所有试题需标注难度，难度分为简单</w:t>
      </w:r>
      <w:r>
        <w:rPr>
          <w:rFonts w:hint="eastAsia" w:ascii="仿宋_GB2312" w:hAnsi="仿宋_GB2312" w:eastAsia="仿宋_GB2312" w:cs="仿宋_GB2312"/>
          <w:sz w:val="32"/>
          <w:szCs w:val="32"/>
        </w:rPr>
        <w:t>、中等、较难三种，每种难度对应标注难度系数。难度系数精确到小数点后两位。可根据答题情况实时变化。可支持自建题库，自建题库支持自定义分类、自定义标签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自建试题可以文件导入、单个录入、批量录入。</w:t>
      </w:r>
    </w:p>
    <w:p w14:paraId="5E97E72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sz w:val="32"/>
          <w:szCs w:val="32"/>
        </w:rPr>
        <w:t>●</w:t>
      </w:r>
      <w:r>
        <w:rPr>
          <w:rFonts w:hint="eastAsia" w:ascii="仿宋_GB2312" w:hAnsi="仿宋_GB2312" w:eastAsia="仿宋_GB2312" w:cs="仿宋_GB2312"/>
          <w:color w:val="auto"/>
          <w:kern w:val="2"/>
          <w:sz w:val="32"/>
          <w:szCs w:val="32"/>
          <w:lang w:val="en-US" w:eastAsia="zh-CN" w:bidi="ar-SA"/>
        </w:rPr>
        <w:t>5.8支持多种组卷方式：智能组卷、手动组卷、自动组卷、随机组卷、以卷组卷。智能组卷支持抽题排重：题干相似度排重、抽题时间排重、指定试卷排重、随机试卷及份数、支持按比例抽题。</w:t>
      </w:r>
    </w:p>
    <w:p w14:paraId="7224847D">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●5.9试题乱序：试卷支持试题乱序，可将试卷题序打乱；选项乱序，可将选择题选项随机。试卷可见范围：支持设置试卷可见部门，仅指定部门可见。</w:t>
      </w:r>
    </w:p>
    <w:p w14:paraId="7D5CFA47">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●5.10复制试卷：按原样复制保持试题不变，按试题规则复制提取试卷规则更换试题。</w:t>
      </w:r>
    </w:p>
    <w:p w14:paraId="10E4FD07">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●5.11试卷加密解密，系统支持组卷人对试卷进行加密解密。试卷和考试支持自定义分类；试卷和考试（考务）独立，试卷和考试可各自复用。</w:t>
      </w:r>
    </w:p>
    <w:p w14:paraId="414E614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●5.12防作弊机制：位置定位签到、人脸识别、切屏限制（支持自定义解锁码及解锁机会）、随机抓拍、绑定设备、答题随机截屏、无操作交卷、试题水印。</w:t>
      </w:r>
    </w:p>
    <w:p w14:paraId="2D8D06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6.1.三</w:t>
      </w:r>
      <w:r>
        <w:rPr>
          <w:rFonts w:hint="eastAsia" w:ascii="仿宋_GB2312" w:hAnsi="仿宋_GB2312" w:eastAsia="仿宋_GB2312" w:cs="仿宋_GB2312"/>
          <w:color w:val="000000" w:themeColor="text1"/>
          <w:sz w:val="32"/>
          <w:szCs w:val="32"/>
          <w14:textFill>
            <w14:solidFill>
              <w14:schemeClr w14:val="tx1"/>
            </w14:solidFill>
          </w14:textFill>
        </w:rPr>
        <w:t>基知识库包需</w:t>
      </w:r>
      <w:r>
        <w:rPr>
          <w:rFonts w:hint="eastAsia" w:ascii="仿宋_GB2312" w:hAnsi="仿宋_GB2312" w:eastAsia="仿宋_GB2312" w:cs="仿宋_GB2312"/>
          <w:color w:val="000000" w:themeColor="text1"/>
          <w:sz w:val="32"/>
          <w:szCs w:val="32"/>
          <w:lang w:eastAsia="zh-CN"/>
          <w14:textFill>
            <w14:solidFill>
              <w14:schemeClr w14:val="tx1"/>
            </w14:solidFill>
          </w14:textFill>
        </w:rPr>
        <w:t>包含</w:t>
      </w:r>
      <w:r>
        <w:rPr>
          <w:rFonts w:hint="eastAsia" w:ascii="仿宋_GB2312" w:hAnsi="仿宋_GB2312" w:eastAsia="仿宋_GB2312" w:cs="仿宋_GB2312"/>
          <w:color w:val="000000" w:themeColor="text1"/>
          <w:sz w:val="32"/>
          <w:szCs w:val="32"/>
          <w14:textFill>
            <w14:solidFill>
              <w14:schemeClr w14:val="tx1"/>
            </w14:solidFill>
          </w14:textFill>
        </w:rPr>
        <w:t>临床医学本科52门数字化教材，总文字量</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3000万字。高清多媒体图片≥28000张。二维、三维动画≥1000段。高清医学视频≥1200段。病例、案例分析≥900个。基本功能包括三级目录结构、智能搜索、中英互译、精品教辅、特色书城、个性书架。医学数据库群</w:t>
      </w:r>
    </w:p>
    <w:p w14:paraId="0E5AB9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7.1</w:t>
      </w:r>
      <w:r>
        <w:rPr>
          <w:rFonts w:hint="eastAsia" w:ascii="仿宋_GB2312" w:hAnsi="仿宋_GB2312" w:eastAsia="仿宋_GB2312" w:cs="仿宋_GB2312"/>
          <w:color w:val="000000" w:themeColor="text1"/>
          <w:sz w:val="32"/>
          <w:szCs w:val="32"/>
          <w14:textFill>
            <w14:solidFill>
              <w14:schemeClr w14:val="tx1"/>
            </w14:solidFill>
          </w14:textFill>
        </w:rPr>
        <w:t>医学数据库需包含疾病数据库、药品数据库、手术学数据库、辅助检查库、循证证据库、疾病进展库、手术图谱库、医保药品库、临床操作规范库9大数据库。总文字量≥7000万字，高清图谱≥2万幅。数据库内每种药品均应包含药品名称，英文名称，别名，类型，剂型，药物原理，药物效果，适应症，</w:t>
      </w:r>
      <w:r>
        <w:rPr>
          <w:rFonts w:hint="eastAsia" w:ascii="仿宋_GB2312" w:hAnsi="仿宋_GB2312" w:eastAsia="仿宋_GB2312" w:cs="仿宋_GB2312"/>
          <w:color w:val="000000" w:themeColor="text1"/>
          <w:sz w:val="32"/>
          <w:szCs w:val="32"/>
          <w:lang w:eastAsia="zh-CN"/>
          <w14:textFill>
            <w14:solidFill>
              <w14:schemeClr w14:val="tx1"/>
            </w14:solidFill>
          </w14:textFill>
        </w:rPr>
        <w:t>禁忌证</w:t>
      </w:r>
      <w:r>
        <w:rPr>
          <w:rFonts w:hint="eastAsia" w:ascii="仿宋_GB2312" w:hAnsi="仿宋_GB2312" w:eastAsia="仿宋_GB2312" w:cs="仿宋_GB2312"/>
          <w:color w:val="000000" w:themeColor="text1"/>
          <w:sz w:val="32"/>
          <w:szCs w:val="32"/>
          <w14:textFill>
            <w14:solidFill>
              <w14:schemeClr w14:val="tx1"/>
            </w14:solidFill>
          </w14:textFill>
        </w:rPr>
        <w:t>，注意事项，不良反应，用法用量，药物相关作用，专家评论等数据索引，可快速切换，精确查找。每个疾病均有疾病名称，英文名称，类别，ICD号，概述，流行病学，病因，发病机制，临床表现，并发症，实验室检查，其他辅助检查，诊断，鉴别诊断，治疗，预后，预防等数据索引，支持精确查找，快速定位。数据库中疾病药品或规范均支持收藏，可反复查看学习，巩固知识。</w:t>
      </w:r>
    </w:p>
    <w:p w14:paraId="026E21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7.2视频教学内容不少于1000例，包含临床理论、医学人文、基础操作、临床思维等教学内容（需提供明细清单，内容不重复）。视频直播：可满足医院对直播课程、远程会议等收看需求，应涵盖医院主要学科，定期提供直播类视频教学资源，包括学术会议直播、MOOC公开课等多种形式，各类直播课程年均总次数不少于200节。</w:t>
      </w:r>
    </w:p>
    <w:p w14:paraId="0255E7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8.支持医院教学资源的维护管理，包括上传、管理、权限设置，支持文档、视频等多种文件形式，支持批量上传、修改和删除。支持医院划分本院教学资源的学习权限，可将不同资源开放给不同人员学习。</w:t>
      </w:r>
    </w:p>
    <w:p w14:paraId="71938C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9.如停止使用该系统后，支持导出医院、学员所有资料。</w:t>
      </w:r>
    </w:p>
    <w:p w14:paraId="1ACC66AA">
      <w:pPr>
        <w:spacing w:line="360" w:lineRule="auto"/>
        <w:ind w:firstLine="480" w:firstLineChars="200"/>
        <w:rPr>
          <w:rFonts w:hint="eastAsia" w:ascii="宋体" w:hAnsi="宋体" w:eastAsia="宋体"/>
          <w:sz w:val="24"/>
          <w:szCs w:val="24"/>
          <w:lang w:val="en-US" w:eastAsia="zh-CN"/>
        </w:rPr>
      </w:pPr>
    </w:p>
    <w:p w14:paraId="6A03E7C6">
      <w:pPr>
        <w:pStyle w:val="2"/>
        <w:rPr>
          <w:rFonts w:hint="eastAsia"/>
          <w:lang w:val="en-US" w:eastAsia="zh-CN"/>
        </w:rPr>
      </w:pPr>
    </w:p>
    <w:p w14:paraId="07B21666">
      <w:pPr>
        <w:pStyle w:val="4"/>
        <w:rPr>
          <w:rFonts w:hint="eastAsia"/>
          <w:lang w:val="en-US" w:eastAsia="zh-CN"/>
        </w:rPr>
      </w:pPr>
    </w:p>
    <w:p w14:paraId="508E331F">
      <w:pPr>
        <w:pStyle w:val="4"/>
        <w:rPr>
          <w:rFonts w:hint="eastAsia"/>
          <w:lang w:val="en-US" w:eastAsia="zh-CN"/>
        </w:rPr>
      </w:pPr>
    </w:p>
    <w:p w14:paraId="762E6280">
      <w:pPr>
        <w:pStyle w:val="4"/>
        <w:rPr>
          <w:rFonts w:hint="eastAsia"/>
          <w:lang w:val="en-US" w:eastAsia="zh-CN"/>
        </w:rPr>
      </w:pPr>
    </w:p>
    <w:p w14:paraId="10B84DAE">
      <w:pPr>
        <w:pStyle w:val="4"/>
        <w:rPr>
          <w:rFonts w:hint="eastAsia"/>
          <w:lang w:val="en-US" w:eastAsia="zh-CN"/>
        </w:rPr>
      </w:pPr>
    </w:p>
    <w:p w14:paraId="24194851">
      <w:pPr>
        <w:pStyle w:val="4"/>
        <w:rPr>
          <w:rFonts w:hint="eastAsia"/>
          <w:lang w:val="en-US" w:eastAsia="zh-CN"/>
        </w:rPr>
      </w:pPr>
    </w:p>
    <w:p w14:paraId="1A30BAD0">
      <w:pPr>
        <w:pStyle w:val="4"/>
        <w:rPr>
          <w:rFonts w:hint="eastAsia"/>
          <w:lang w:val="en-US" w:eastAsia="zh-CN"/>
        </w:rPr>
      </w:pPr>
    </w:p>
    <w:p w14:paraId="14022CFD">
      <w:pPr>
        <w:pStyle w:val="4"/>
        <w:rPr>
          <w:rFonts w:hint="eastAsia"/>
          <w:lang w:val="en-US" w:eastAsia="zh-CN"/>
        </w:rPr>
      </w:pPr>
    </w:p>
    <w:p w14:paraId="66282C03">
      <w:pPr>
        <w:pStyle w:val="4"/>
        <w:rPr>
          <w:rFonts w:hint="eastAsia"/>
          <w:lang w:val="en-US" w:eastAsia="zh-CN"/>
        </w:rPr>
      </w:pPr>
    </w:p>
    <w:p w14:paraId="44BE3386">
      <w:pPr>
        <w:pStyle w:val="4"/>
        <w:rPr>
          <w:rFonts w:hint="eastAsia"/>
          <w:lang w:val="en-US" w:eastAsia="zh-CN"/>
        </w:rPr>
      </w:pPr>
    </w:p>
    <w:p w14:paraId="2E06D565">
      <w:pPr>
        <w:pStyle w:val="4"/>
        <w:rPr>
          <w:rFonts w:hint="eastAsia"/>
          <w:lang w:val="en-US" w:eastAsia="zh-CN"/>
        </w:rPr>
      </w:pPr>
    </w:p>
    <w:p w14:paraId="50A037DD">
      <w:pPr>
        <w:pStyle w:val="4"/>
        <w:rPr>
          <w:rFonts w:hint="eastAsia"/>
          <w:lang w:val="en-US" w:eastAsia="zh-CN"/>
        </w:rPr>
      </w:pPr>
    </w:p>
    <w:p w14:paraId="618E670F">
      <w:pPr>
        <w:pStyle w:val="4"/>
        <w:rPr>
          <w:rFonts w:hint="eastAsia"/>
          <w:lang w:val="en-US" w:eastAsia="zh-CN"/>
        </w:rPr>
      </w:pPr>
    </w:p>
    <w:p w14:paraId="312FDB83">
      <w:pPr>
        <w:pStyle w:val="4"/>
        <w:rPr>
          <w:rFonts w:hint="eastAsia"/>
          <w:lang w:val="en-US" w:eastAsia="zh-CN"/>
        </w:rPr>
      </w:pPr>
    </w:p>
    <w:p w14:paraId="10CBAE30">
      <w:pPr>
        <w:pStyle w:val="4"/>
        <w:rPr>
          <w:rFonts w:hint="eastAsia"/>
          <w:lang w:val="en-US" w:eastAsia="zh-CN"/>
        </w:rPr>
      </w:pPr>
    </w:p>
    <w:p w14:paraId="2B99F199">
      <w:pPr>
        <w:pStyle w:val="4"/>
        <w:rPr>
          <w:rFonts w:hint="eastAsia"/>
          <w:lang w:val="en-US" w:eastAsia="zh-CN"/>
        </w:rPr>
      </w:pPr>
    </w:p>
    <w:p w14:paraId="5462DA69">
      <w:pPr>
        <w:pStyle w:val="4"/>
        <w:rPr>
          <w:rFonts w:hint="eastAsia"/>
          <w:lang w:val="en-US" w:eastAsia="zh-CN"/>
        </w:rPr>
      </w:pPr>
    </w:p>
    <w:p w14:paraId="372493E0">
      <w:pPr>
        <w:pStyle w:val="4"/>
        <w:rPr>
          <w:rFonts w:hint="eastAsia"/>
          <w:lang w:val="en-US" w:eastAsia="zh-CN"/>
        </w:rPr>
      </w:pPr>
    </w:p>
    <w:p w14:paraId="6AF87A68">
      <w:pPr>
        <w:pStyle w:val="4"/>
        <w:rPr>
          <w:rFonts w:hint="eastAsia"/>
          <w:lang w:val="en-US" w:eastAsia="zh-CN"/>
        </w:rPr>
      </w:pPr>
    </w:p>
    <w:p w14:paraId="1B48AC66">
      <w:pPr>
        <w:pStyle w:val="4"/>
        <w:rPr>
          <w:rFonts w:hint="eastAsia"/>
          <w:lang w:val="en-US" w:eastAsia="zh-CN"/>
        </w:rPr>
      </w:pPr>
    </w:p>
    <w:p w14:paraId="1BE81202">
      <w:pPr>
        <w:pStyle w:val="4"/>
        <w:rPr>
          <w:rFonts w:hint="eastAsia"/>
          <w:lang w:val="en-US" w:eastAsia="zh-CN"/>
        </w:rPr>
      </w:pPr>
    </w:p>
    <w:p w14:paraId="1B64263C">
      <w:pPr>
        <w:pStyle w:val="4"/>
        <w:rPr>
          <w:rFonts w:hint="eastAsia"/>
          <w:lang w:val="en-US" w:eastAsia="zh-CN"/>
        </w:rPr>
      </w:pPr>
    </w:p>
    <w:p w14:paraId="0C64207D">
      <w:pPr>
        <w:pStyle w:val="4"/>
        <w:rPr>
          <w:rFonts w:hint="eastAsia"/>
          <w:lang w:val="en-US" w:eastAsia="zh-CN"/>
        </w:rPr>
      </w:pPr>
    </w:p>
    <w:p w14:paraId="7E9E091B">
      <w:pPr>
        <w:spacing w:line="360" w:lineRule="auto"/>
        <w:ind w:firstLine="880" w:firstLineChars="200"/>
        <w:jc w:val="center"/>
        <w:rPr>
          <w:rFonts w:hint="eastAsia" w:ascii="宋体" w:hAnsi="宋体" w:eastAsia="宋体"/>
          <w:sz w:val="44"/>
          <w:szCs w:val="44"/>
          <w:lang w:val="en-US" w:eastAsia="zh-CN"/>
        </w:rPr>
      </w:pPr>
      <w:r>
        <w:rPr>
          <w:rFonts w:hint="eastAsia" w:ascii="宋体" w:hAnsi="宋体" w:eastAsia="宋体"/>
          <w:sz w:val="44"/>
          <w:szCs w:val="44"/>
          <w:lang w:val="en-US" w:eastAsia="zh-CN"/>
        </w:rPr>
        <w:t>贵州医科大学第三附属医院</w:t>
      </w:r>
    </w:p>
    <w:p w14:paraId="702098E3">
      <w:pPr>
        <w:spacing w:line="360" w:lineRule="auto"/>
        <w:ind w:firstLine="880" w:firstLineChars="200"/>
        <w:jc w:val="center"/>
        <w:rPr>
          <w:rFonts w:hint="eastAsia" w:ascii="宋体" w:hAnsi="宋体" w:eastAsia="宋体"/>
          <w:sz w:val="44"/>
          <w:szCs w:val="44"/>
          <w:lang w:val="en-US" w:eastAsia="zh-CN"/>
        </w:rPr>
      </w:pPr>
      <w:r>
        <w:rPr>
          <w:rFonts w:hint="eastAsia" w:ascii="宋体" w:hAnsi="宋体" w:eastAsia="宋体"/>
          <w:sz w:val="44"/>
          <w:szCs w:val="44"/>
          <w:lang w:val="en-US" w:eastAsia="zh-CN"/>
        </w:rPr>
        <w:t>住院医师规范化培训电子信息管理系统使用服务项目报价单</w:t>
      </w:r>
    </w:p>
    <w:p w14:paraId="79E212DF">
      <w:pPr>
        <w:pStyle w:val="2"/>
        <w:rPr>
          <w:rFonts w:hint="eastAsia"/>
          <w:lang w:val="en-US" w:eastAsia="zh-CN"/>
        </w:rPr>
      </w:pPr>
    </w:p>
    <w:tbl>
      <w:tblPr>
        <w:tblStyle w:val="9"/>
        <w:tblW w:w="9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4"/>
        <w:gridCol w:w="1785"/>
        <w:gridCol w:w="2145"/>
        <w:gridCol w:w="1814"/>
      </w:tblGrid>
      <w:tr w14:paraId="7AA1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54" w:type="dxa"/>
            <w:vAlign w:val="center"/>
          </w:tcPr>
          <w:p w14:paraId="610F3AB1">
            <w:pPr>
              <w:pStyle w:val="4"/>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系统品牌及版本</w:t>
            </w:r>
          </w:p>
        </w:tc>
        <w:tc>
          <w:tcPr>
            <w:tcW w:w="1785" w:type="dxa"/>
            <w:vAlign w:val="center"/>
          </w:tcPr>
          <w:p w14:paraId="1B0EB74F">
            <w:pPr>
              <w:pStyle w:val="4"/>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服务期（年）</w:t>
            </w:r>
          </w:p>
        </w:tc>
        <w:tc>
          <w:tcPr>
            <w:tcW w:w="2145" w:type="dxa"/>
            <w:vAlign w:val="center"/>
          </w:tcPr>
          <w:p w14:paraId="05AC4CB9">
            <w:pPr>
              <w:pStyle w:val="4"/>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报价（元）</w:t>
            </w:r>
          </w:p>
        </w:tc>
        <w:tc>
          <w:tcPr>
            <w:tcW w:w="1814" w:type="dxa"/>
            <w:vAlign w:val="center"/>
          </w:tcPr>
          <w:p w14:paraId="0041102E">
            <w:pPr>
              <w:pStyle w:val="4"/>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备注</w:t>
            </w:r>
          </w:p>
        </w:tc>
      </w:tr>
      <w:tr w14:paraId="509A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654" w:type="dxa"/>
            <w:vAlign w:val="center"/>
          </w:tcPr>
          <w:p w14:paraId="213A263A">
            <w:pPr>
              <w:pStyle w:val="4"/>
              <w:jc w:val="center"/>
              <w:rPr>
                <w:rFonts w:hint="default"/>
                <w:vertAlign w:val="baseline"/>
                <w:lang w:val="en-US" w:eastAsia="zh-CN"/>
              </w:rPr>
            </w:pPr>
          </w:p>
        </w:tc>
        <w:tc>
          <w:tcPr>
            <w:tcW w:w="1785" w:type="dxa"/>
            <w:vAlign w:val="center"/>
          </w:tcPr>
          <w:p w14:paraId="282860D9">
            <w:pPr>
              <w:pStyle w:val="4"/>
              <w:jc w:val="center"/>
              <w:rPr>
                <w:rFonts w:hint="default"/>
                <w:vertAlign w:val="baseline"/>
                <w:lang w:val="en-US" w:eastAsia="zh-CN"/>
              </w:rPr>
            </w:pPr>
          </w:p>
        </w:tc>
        <w:tc>
          <w:tcPr>
            <w:tcW w:w="2145" w:type="dxa"/>
            <w:vAlign w:val="center"/>
          </w:tcPr>
          <w:p w14:paraId="7C27D85A">
            <w:pPr>
              <w:pStyle w:val="4"/>
              <w:jc w:val="center"/>
              <w:rPr>
                <w:rFonts w:hint="default"/>
                <w:vertAlign w:val="baseline"/>
                <w:lang w:val="en-US" w:eastAsia="zh-CN"/>
              </w:rPr>
            </w:pPr>
          </w:p>
        </w:tc>
        <w:tc>
          <w:tcPr>
            <w:tcW w:w="1814" w:type="dxa"/>
            <w:vAlign w:val="center"/>
          </w:tcPr>
          <w:p w14:paraId="00E2F877">
            <w:pPr>
              <w:pStyle w:val="4"/>
              <w:jc w:val="center"/>
              <w:rPr>
                <w:rFonts w:hint="default"/>
                <w:vertAlign w:val="baseline"/>
                <w:lang w:val="en-US" w:eastAsia="zh-CN"/>
              </w:rPr>
            </w:pPr>
          </w:p>
        </w:tc>
      </w:tr>
    </w:tbl>
    <w:p w14:paraId="21B09483">
      <w:pPr>
        <w:keepNext w:val="0"/>
        <w:keepLines w:val="0"/>
        <w:pageBreakBefore w:val="0"/>
        <w:widowControl/>
        <w:kinsoku w:val="0"/>
        <w:wordWrap/>
        <w:overflowPunct/>
        <w:topLinePunct w:val="0"/>
        <w:autoSpaceDE w:val="0"/>
        <w:autoSpaceDN w:val="0"/>
        <w:bidi w:val="0"/>
        <w:adjustRightInd w:val="0"/>
        <w:snapToGrid w:val="0"/>
        <w:spacing w:line="400" w:lineRule="atLeast"/>
        <w:textAlignment w:val="center"/>
        <w:rPr>
          <w:rFonts w:hint="eastAsia" w:ascii="宋体" w:hAnsi="宋体" w:eastAsia="宋体" w:cs="宋体"/>
          <w:sz w:val="28"/>
          <w:szCs w:val="28"/>
          <w:lang w:val="en-US" w:eastAsia="zh-CN"/>
        </w:rPr>
      </w:pPr>
    </w:p>
    <w:p w14:paraId="50CD8D5C">
      <w:pPr>
        <w:keepNext w:val="0"/>
        <w:keepLines w:val="0"/>
        <w:pageBreakBefore w:val="0"/>
        <w:widowControl/>
        <w:kinsoku w:val="0"/>
        <w:wordWrap/>
        <w:overflowPunct/>
        <w:topLinePunct w:val="0"/>
        <w:autoSpaceDE w:val="0"/>
        <w:autoSpaceDN w:val="0"/>
        <w:bidi w:val="0"/>
        <w:adjustRightInd w:val="0"/>
        <w:snapToGrid w:val="0"/>
        <w:spacing w:line="400" w:lineRule="atLeast"/>
        <w:textAlignment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供应商名称：</w:t>
      </w:r>
    </w:p>
    <w:p w14:paraId="71F0BB18">
      <w:pPr>
        <w:pStyle w:val="2"/>
        <w:keepNext w:val="0"/>
        <w:keepLines w:val="0"/>
        <w:pageBreakBefore w:val="0"/>
        <w:widowControl/>
        <w:kinsoku w:val="0"/>
        <w:wordWrap/>
        <w:overflowPunct/>
        <w:topLinePunct w:val="0"/>
        <w:autoSpaceDE w:val="0"/>
        <w:autoSpaceDN w:val="0"/>
        <w:bidi w:val="0"/>
        <w:adjustRightInd w:val="0"/>
        <w:snapToGrid w:val="0"/>
        <w:spacing w:line="400" w:lineRule="atLeast"/>
        <w:ind w:left="0" w:leftChars="0" w:firstLine="0" w:firstLineChars="0"/>
        <w:jc w:val="both"/>
        <w:rPr>
          <w:rFonts w:hint="eastAsia" w:ascii="宋体" w:hAnsi="宋体" w:eastAsia="宋体" w:cs="宋体"/>
          <w:sz w:val="28"/>
          <w:szCs w:val="28"/>
          <w:lang w:val="en-US" w:eastAsia="zh-CN"/>
        </w:rPr>
      </w:pPr>
    </w:p>
    <w:p w14:paraId="0318E451">
      <w:pPr>
        <w:pStyle w:val="2"/>
        <w:keepNext w:val="0"/>
        <w:keepLines w:val="0"/>
        <w:pageBreakBefore w:val="0"/>
        <w:widowControl/>
        <w:kinsoku w:val="0"/>
        <w:wordWrap/>
        <w:overflowPunct/>
        <w:topLinePunct w:val="0"/>
        <w:autoSpaceDE w:val="0"/>
        <w:autoSpaceDN w:val="0"/>
        <w:bidi w:val="0"/>
        <w:adjustRightInd w:val="0"/>
        <w:snapToGrid w:val="0"/>
        <w:spacing w:line="400" w:lineRule="atLeast"/>
        <w:ind w:left="0" w:leftChars="0" w:firstLine="0" w:firstLineChars="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联系人：</w:t>
      </w:r>
    </w:p>
    <w:p w14:paraId="416828EF">
      <w:pPr>
        <w:keepNext w:val="0"/>
        <w:keepLines w:val="0"/>
        <w:pageBreakBefore w:val="0"/>
        <w:widowControl/>
        <w:kinsoku w:val="0"/>
        <w:wordWrap/>
        <w:overflowPunct/>
        <w:topLinePunct w:val="0"/>
        <w:autoSpaceDE w:val="0"/>
        <w:autoSpaceDN w:val="0"/>
        <w:bidi w:val="0"/>
        <w:adjustRightInd w:val="0"/>
        <w:snapToGrid w:val="0"/>
        <w:spacing w:line="400" w:lineRule="atLeast"/>
        <w:rPr>
          <w:rFonts w:hint="eastAsia" w:ascii="宋体" w:hAnsi="宋体" w:eastAsia="宋体" w:cs="宋体"/>
          <w:sz w:val="28"/>
          <w:szCs w:val="28"/>
          <w:lang w:val="en-US" w:eastAsia="zh-CN"/>
        </w:rPr>
      </w:pPr>
    </w:p>
    <w:p w14:paraId="1B95AF5D">
      <w:pPr>
        <w:keepNext w:val="0"/>
        <w:keepLines w:val="0"/>
        <w:pageBreakBefore w:val="0"/>
        <w:widowControl/>
        <w:kinsoku w:val="0"/>
        <w:wordWrap/>
        <w:overflowPunct/>
        <w:topLinePunct w:val="0"/>
        <w:autoSpaceDE w:val="0"/>
        <w:autoSpaceDN w:val="0"/>
        <w:bidi w:val="0"/>
        <w:adjustRightInd w:val="0"/>
        <w:snapToGrid w:val="0"/>
        <w:spacing w:line="400" w:lineRule="atLeas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联系方式：</w:t>
      </w:r>
    </w:p>
    <w:p w14:paraId="02481018">
      <w:pPr>
        <w:pStyle w:val="4"/>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yOGMxOGY0MDNlODE2YzVkNzBjZWY5MjAzYjBiZGUifQ=="/>
  </w:docVars>
  <w:rsids>
    <w:rsidRoot w:val="009F483B"/>
    <w:rsid w:val="000E3658"/>
    <w:rsid w:val="000F2294"/>
    <w:rsid w:val="003334B1"/>
    <w:rsid w:val="00372FA1"/>
    <w:rsid w:val="003C2433"/>
    <w:rsid w:val="003F4EBA"/>
    <w:rsid w:val="004D2E75"/>
    <w:rsid w:val="00572A34"/>
    <w:rsid w:val="00637302"/>
    <w:rsid w:val="00641764"/>
    <w:rsid w:val="006F4635"/>
    <w:rsid w:val="007B5899"/>
    <w:rsid w:val="007F7B4C"/>
    <w:rsid w:val="008D294B"/>
    <w:rsid w:val="0097294E"/>
    <w:rsid w:val="009D42F9"/>
    <w:rsid w:val="009F483B"/>
    <w:rsid w:val="00B13F47"/>
    <w:rsid w:val="00B34A06"/>
    <w:rsid w:val="00C84899"/>
    <w:rsid w:val="00CD2037"/>
    <w:rsid w:val="00D1588F"/>
    <w:rsid w:val="00D67ED8"/>
    <w:rsid w:val="00D86702"/>
    <w:rsid w:val="00E0741B"/>
    <w:rsid w:val="00EB074E"/>
    <w:rsid w:val="00F22A52"/>
    <w:rsid w:val="00F3674B"/>
    <w:rsid w:val="00FA25C9"/>
    <w:rsid w:val="06E30FE0"/>
    <w:rsid w:val="12EC7547"/>
    <w:rsid w:val="1B5D9D7E"/>
    <w:rsid w:val="2BB655AB"/>
    <w:rsid w:val="311650EE"/>
    <w:rsid w:val="36F10BFF"/>
    <w:rsid w:val="3C7D23CD"/>
    <w:rsid w:val="4E0B4C12"/>
    <w:rsid w:val="50096F88"/>
    <w:rsid w:val="559C62E6"/>
    <w:rsid w:val="55C909F3"/>
    <w:rsid w:val="69277758"/>
    <w:rsid w:val="6DFFC293"/>
    <w:rsid w:val="72576D26"/>
    <w:rsid w:val="744347E5"/>
    <w:rsid w:val="78D45E53"/>
    <w:rsid w:val="7BE50F04"/>
    <w:rsid w:val="7C967482"/>
    <w:rsid w:val="7E5A6A7D"/>
    <w:rsid w:val="FBBD0D76"/>
    <w:rsid w:val="FFFFBB1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9"/>
    <w:pPr>
      <w:spacing w:before="50"/>
      <w:ind w:left="319" w:right="421"/>
      <w:jc w:val="center"/>
      <w:outlineLvl w:val="2"/>
    </w:pPr>
    <w:rPr>
      <w:sz w:val="36"/>
      <w:szCs w:val="36"/>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uiPriority w:val="99"/>
    <w:pPr>
      <w:jc w:val="left"/>
    </w:pPr>
  </w:style>
  <w:style w:type="paragraph" w:styleId="4">
    <w:name w:val="Body Text"/>
    <w:basedOn w:val="1"/>
    <w:unhideWhenUsed/>
    <w:qFormat/>
    <w:uiPriority w:val="99"/>
    <w:pPr>
      <w:spacing w:after="120"/>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tabs>
        <w:tab w:val="center" w:pos="4153"/>
        <w:tab w:val="right" w:pos="8306"/>
      </w:tabs>
      <w:snapToGrid w:val="0"/>
      <w:jc w:val="center"/>
    </w:pPr>
    <w:rPr>
      <w:sz w:val="18"/>
      <w:szCs w:val="18"/>
    </w:rPr>
  </w:style>
  <w:style w:type="paragraph" w:styleId="7">
    <w:name w:val="Normal (Web)"/>
    <w:basedOn w:val="1"/>
    <w:unhideWhenUsed/>
    <w:qFormat/>
    <w:uiPriority w:val="0"/>
    <w:pPr>
      <w:spacing w:beforeAutospacing="1" w:afterAutospacing="1"/>
      <w:jc w:val="left"/>
    </w:pPr>
    <w:rPr>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ind w:firstLine="420" w:firstLineChars="200"/>
    </w:p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paragraph" w:customStyle="1" w:styleId="14">
    <w:name w:val="Default"/>
    <w:qFormat/>
    <w:uiPriority w:val="0"/>
    <w:pPr>
      <w:widowControl w:val="0"/>
    </w:pPr>
    <w:rPr>
      <w:rFonts w:ascii="宋体" w:eastAsia="宋体" w:cs="宋体" w:hAnsiTheme="minorHAnsi"/>
      <w:color w:val="000000"/>
      <w:kern w:val="0"/>
      <w:sz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5651</Words>
  <Characters>5885</Characters>
  <Lines>87</Lines>
  <Paragraphs>24</Paragraphs>
  <TotalTime>1</TotalTime>
  <ScaleCrop>false</ScaleCrop>
  <LinksUpToDate>false</LinksUpToDate>
  <CharactersWithSpaces>5902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2024-07-17T01:22:00Z</dcterms:created>
  <dc:creator>小月 陈</dc:creator>
  <cp:lastModifiedBy>Alisa</cp:lastModifiedBy>
  <dcterms:modified xsi:type="dcterms:W3CDTF">2026-04-24T09:50:33Z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3533C5434D5046108AB01E8F396CED6A_13</vt:lpwstr>
  </property>
  <property fmtid="{D5CDD505-2E9C-101B-9397-08002B2CF9AE}" pid="4" name="KSOTemplateDocerSaveRecord">
    <vt:lpwstr>eyJoZGlkIjoiZGE5ZmYzZTk2ZjliMjU0YTU2MmU3MzE5ZjEyZTYyZGMiLCJ1c2VySWQiOiI2Mzk2MDIzNDUifQ==</vt:lpwstr>
  </property>
</Properties>
</file>