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82244">
      <w:pPr>
        <w:spacing w:before="156" w:beforeLines="50" w:after="156" w:afterLines="50"/>
        <w:jc w:val="left"/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附件一</w:t>
      </w:r>
    </w:p>
    <w:p w14:paraId="04AF8D51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贵州医科大学第三附属医院</w:t>
      </w:r>
    </w:p>
    <w:p w14:paraId="239BD8CA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  <w:lang w:eastAsia="zh-CN"/>
        </w:rPr>
        <w:t>体检</w:t>
      </w:r>
      <w:r>
        <w:rPr>
          <w:rFonts w:hint="eastAsia" w:ascii="宋体" w:hAnsi="宋体"/>
          <w:b/>
          <w:color w:val="000000"/>
          <w:sz w:val="44"/>
          <w:szCs w:val="44"/>
        </w:rPr>
        <w:t>信息系统维保项目需求</w:t>
      </w:r>
    </w:p>
    <w:p w14:paraId="70CFD548">
      <w:pPr>
        <w:rPr>
          <w:rFonts w:ascii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374"/>
        <w:gridCol w:w="5931"/>
        <w:gridCol w:w="1020"/>
      </w:tblGrid>
      <w:tr w14:paraId="38FDD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tblHeader/>
          <w:jc w:val="center"/>
        </w:trPr>
        <w:tc>
          <w:tcPr>
            <w:tcW w:w="513" w:type="dxa"/>
            <w:vAlign w:val="center"/>
          </w:tcPr>
          <w:p w14:paraId="00BA5CD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4" w:type="dxa"/>
            <w:vAlign w:val="center"/>
          </w:tcPr>
          <w:p w14:paraId="4D2F253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5931" w:type="dxa"/>
            <w:vAlign w:val="center"/>
          </w:tcPr>
          <w:p w14:paraId="2944ABB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020" w:type="dxa"/>
            <w:vAlign w:val="center"/>
          </w:tcPr>
          <w:p w14:paraId="6798F57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EB4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  <w:jc w:val="center"/>
        </w:trPr>
        <w:tc>
          <w:tcPr>
            <w:tcW w:w="513" w:type="dxa"/>
            <w:vAlign w:val="center"/>
          </w:tcPr>
          <w:p w14:paraId="1931DB3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74" w:type="dxa"/>
            <w:vAlign w:val="center"/>
          </w:tcPr>
          <w:p w14:paraId="5965A96E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远程服务</w:t>
            </w:r>
          </w:p>
        </w:tc>
        <w:tc>
          <w:tcPr>
            <w:tcW w:w="5931" w:type="dxa"/>
            <w:vAlign w:val="center"/>
          </w:tcPr>
          <w:p w14:paraId="0BF2AA9B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通过电话、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远程工具进行远程服务，保证医院反馈的问题能够及时完成处理。</w:t>
            </w:r>
          </w:p>
          <w:p w14:paraId="4173A7BA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提供周末及节假日值班服务，保证周末及节假日为医院提供各项服务。</w:t>
            </w:r>
          </w:p>
        </w:tc>
        <w:tc>
          <w:tcPr>
            <w:tcW w:w="1020" w:type="dxa"/>
            <w:vMerge w:val="restart"/>
            <w:vAlign w:val="center"/>
          </w:tcPr>
          <w:p w14:paraId="3EDB4C2F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538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513" w:type="dxa"/>
            <w:vAlign w:val="center"/>
          </w:tcPr>
          <w:p w14:paraId="01DB6EF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74" w:type="dxa"/>
            <w:vAlign w:val="center"/>
          </w:tcPr>
          <w:p w14:paraId="55E70209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现场服务</w:t>
            </w:r>
          </w:p>
        </w:tc>
        <w:tc>
          <w:tcPr>
            <w:tcW w:w="5931" w:type="dxa"/>
            <w:vAlign w:val="center"/>
          </w:tcPr>
          <w:p w14:paraId="3176D7A5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远程服务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24小时内无法解决问题的，按客户要求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小时内安排工程师到现场进行处理。</w:t>
            </w:r>
          </w:p>
        </w:tc>
        <w:tc>
          <w:tcPr>
            <w:tcW w:w="1020" w:type="dxa"/>
            <w:vMerge w:val="continue"/>
            <w:vAlign w:val="center"/>
          </w:tcPr>
          <w:p w14:paraId="41603432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eastAsia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307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3" w:hRule="atLeast"/>
          <w:jc w:val="center"/>
        </w:trPr>
        <w:tc>
          <w:tcPr>
            <w:tcW w:w="513" w:type="dxa"/>
            <w:vAlign w:val="center"/>
          </w:tcPr>
          <w:p w14:paraId="2552F15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74" w:type="dxa"/>
            <w:vAlign w:val="center"/>
          </w:tcPr>
          <w:p w14:paraId="68374E55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服务器和系统巡检</w:t>
            </w:r>
          </w:p>
        </w:tc>
        <w:tc>
          <w:tcPr>
            <w:tcW w:w="5931" w:type="dxa"/>
            <w:vAlign w:val="center"/>
          </w:tcPr>
          <w:p w14:paraId="2A58FD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150" w:beforeAutospacing="0" w:after="15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每年提供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4次服务器和系统巡查服务：</w:t>
            </w:r>
          </w:p>
          <w:p w14:paraId="2ED501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150" w:beforeAutospacing="0" w:after="15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1、对服务器和系统进行巡检，巡检内容包括：服务器内存情况评估、硬盘情况评估、系统运行稳定性评估等；</w:t>
            </w:r>
          </w:p>
          <w:p w14:paraId="11823F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150" w:beforeAutospacing="0" w:after="150" w:afterAutospacing="0"/>
              <w:ind w:left="0" w:right="0" w:firstLine="0"/>
              <w:jc w:val="left"/>
              <w:textAlignment w:val="center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2、提供专业化巡查报告，并基于报告内容给出专业化解决方案。</w:t>
            </w:r>
          </w:p>
        </w:tc>
        <w:tc>
          <w:tcPr>
            <w:tcW w:w="1020" w:type="dxa"/>
            <w:vMerge w:val="continue"/>
            <w:vAlign w:val="center"/>
          </w:tcPr>
          <w:p w14:paraId="12FF337E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76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13" w:type="dxa"/>
            <w:vAlign w:val="center"/>
          </w:tcPr>
          <w:p w14:paraId="22FC9C7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74" w:type="dxa"/>
            <w:vAlign w:val="center"/>
          </w:tcPr>
          <w:p w14:paraId="3C748EB1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数据恢复及系统迁移</w:t>
            </w:r>
          </w:p>
        </w:tc>
        <w:tc>
          <w:tcPr>
            <w:tcW w:w="5931" w:type="dxa"/>
            <w:vAlign w:val="center"/>
          </w:tcPr>
          <w:p w14:paraId="1496172B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提供系统数据恢复及系统迁移服务：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               </w:t>
            </w:r>
          </w:p>
          <w:p w14:paraId="7E21AE4D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1、根据医院实际拥有的最新备份数据，帮助医院进行数据恢复。</w:t>
            </w:r>
          </w:p>
          <w:p w14:paraId="3972CF9F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2、根据医院的要求将系统部署到新服务器中，并完成系统调试工作，确保使用正常。</w:t>
            </w:r>
          </w:p>
        </w:tc>
        <w:tc>
          <w:tcPr>
            <w:tcW w:w="1020" w:type="dxa"/>
            <w:vMerge w:val="continue"/>
            <w:vAlign w:val="center"/>
          </w:tcPr>
          <w:p w14:paraId="2F0B26C4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04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513" w:type="dxa"/>
            <w:vAlign w:val="center"/>
          </w:tcPr>
          <w:p w14:paraId="2271DD7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74" w:type="dxa"/>
            <w:vAlign w:val="center"/>
          </w:tcPr>
          <w:p w14:paraId="57996BD3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职业病数据上报</w:t>
            </w:r>
          </w:p>
        </w:tc>
        <w:tc>
          <w:tcPr>
            <w:tcW w:w="5931" w:type="dxa"/>
            <w:vAlign w:val="center"/>
          </w:tcPr>
          <w:p w14:paraId="5A50E6A3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协助医院完成职业病数据上报。</w:t>
            </w:r>
          </w:p>
        </w:tc>
        <w:tc>
          <w:tcPr>
            <w:tcW w:w="1020" w:type="dxa"/>
            <w:vMerge w:val="continue"/>
            <w:vAlign w:val="center"/>
          </w:tcPr>
          <w:p w14:paraId="0C4763A0">
            <w:pPr>
              <w:shd w:val="clear"/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C6C2F59">
      <w:pPr>
        <w:shd w:val="clear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F3E824C">
      <w:pPr>
        <w:spacing w:line="360" w:lineRule="auto"/>
        <w:jc w:val="both"/>
        <w:rPr>
          <w:rFonts w:hint="eastAsia" w:ascii="宋体" w:hAnsi="宋体" w:cs="宋体"/>
          <w:sz w:val="48"/>
          <w:szCs w:val="48"/>
          <w:lang w:val="en-US" w:eastAsia="zh-CN"/>
        </w:rPr>
      </w:pPr>
      <w:r>
        <w:rPr>
          <w:rFonts w:hint="eastAsia" w:ascii="宋体" w:hAnsi="宋体" w:cs="宋体"/>
          <w:sz w:val="48"/>
          <w:szCs w:val="48"/>
          <w:lang w:val="en-US" w:eastAsia="zh-CN"/>
        </w:rPr>
        <w:t>附件二</w:t>
      </w:r>
    </w:p>
    <w:p w14:paraId="19D4822D">
      <w:pPr>
        <w:spacing w:line="360" w:lineRule="auto"/>
        <w:jc w:val="center"/>
        <w:rPr>
          <w:rFonts w:ascii="宋体" w:hAnsi="宋体" w:cs="宋体"/>
          <w:sz w:val="48"/>
          <w:szCs w:val="48"/>
          <w:lang w:val="zh-CN"/>
        </w:rPr>
      </w:pPr>
      <w:r>
        <w:rPr>
          <w:rFonts w:hint="eastAsia" w:ascii="宋体" w:hAnsi="宋体" w:cs="宋体"/>
          <w:sz w:val="48"/>
          <w:szCs w:val="48"/>
          <w:lang w:val="zh-CN"/>
        </w:rPr>
        <w:t>贵州医科大学第三附属医院</w:t>
      </w:r>
    </w:p>
    <w:tbl>
      <w:tblPr>
        <w:tblStyle w:val="5"/>
        <w:tblpPr w:leftFromText="180" w:rightFromText="180" w:vertAnchor="text" w:horzAnchor="page" w:tblpX="1317" w:tblpY="804"/>
        <w:tblOverlap w:val="never"/>
        <w:tblW w:w="102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707"/>
        <w:gridCol w:w="8115"/>
        <w:gridCol w:w="735"/>
      </w:tblGrid>
      <w:tr w14:paraId="148B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176C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序号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267B7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考核方式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3BE97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采用倒扣制，满分为100分，根据医院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提供的维护任务全年考核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维护情况，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完成进度。</w:t>
            </w:r>
          </w:p>
          <w:p w14:paraId="47B03373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根据考核情况实行降低费用标准或进行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相应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处罚。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E1EEB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备注</w:t>
            </w:r>
          </w:p>
        </w:tc>
      </w:tr>
      <w:tr w14:paraId="2FD8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0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8352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42AA9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考核标准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52B11">
            <w:pPr>
              <w:tabs>
                <w:tab w:val="left" w:pos="900"/>
              </w:tabs>
              <w:spacing w:line="520" w:lineRule="exac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每三个月汇报维护季度报告，根据医院提供的任务单为主要汇报内容；</w:t>
            </w:r>
          </w:p>
          <w:p w14:paraId="6A727C44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◇根据医院任务单年底考核完成进度为标准，未完成任务单数量一份，扣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sz w:val="24"/>
              </w:rPr>
              <w:t>分；</w:t>
            </w:r>
          </w:p>
          <w:p w14:paraId="6DBDF6ED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◇未提供7×24小时技术咨询服务的，每发现一次，扣1分；</w:t>
            </w:r>
          </w:p>
          <w:p w14:paraId="086CCE46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◇系统维护过程中，因紧急故障应急服务或一般故障应急服务影响到实际使用的，每发现一次，扣5分</w:t>
            </w:r>
          </w:p>
          <w:p w14:paraId="423D82E2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◇未履行保密义务，泄漏甲方相关信息的，每发现一次，扣10分。如因此造成严重不良影响的视为乙方严重违约，不予支付乙方维护款且终止合同，并依法追究其法律责任；</w:t>
            </w:r>
          </w:p>
          <w:p w14:paraId="78587BD6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◇因服务态度或响应时间等引起使用部门有效投诉的，每发现一次，扣2分。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EBE2C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</w:p>
        </w:tc>
      </w:tr>
      <w:tr w14:paraId="57536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B880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2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3CE50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考核结果处罚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F007A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考核得分90分以上(不含)的，不扣罚。考核得分低于90分(含)的，每少得1分，扣罚当期维护费用的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％，考核得分低于70分(不含)的，视为乙方服务质量严重偏离合同约定的服务标准及严重违约，在继续扣罚当期维护费用的基础上，甲方有权不予支付维护费并终止合同。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EACAA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</w:tr>
      <w:tr w14:paraId="58B3A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C9A2D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得分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A88B6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A0869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</w:tr>
    </w:tbl>
    <w:p w14:paraId="4BAEA6E3">
      <w:pPr>
        <w:spacing w:line="360" w:lineRule="auto"/>
        <w:ind w:firstLine="720" w:firstLineChars="200"/>
        <w:jc w:val="center"/>
        <w:rPr>
          <w:rFonts w:hint="eastAsia" w:eastAsia="宋体"/>
          <w:spacing w:val="20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pacing w:val="20"/>
          <w:sz w:val="32"/>
          <w:szCs w:val="32"/>
          <w:lang w:val="en-US" w:eastAsia="zh-CN"/>
        </w:rPr>
        <w:t>体检</w:t>
      </w:r>
      <w:r>
        <w:rPr>
          <w:rFonts w:hint="eastAsia"/>
          <w:spacing w:val="20"/>
          <w:sz w:val="32"/>
          <w:szCs w:val="32"/>
        </w:rPr>
        <w:t>系统维护服务考核</w:t>
      </w:r>
      <w:r>
        <w:rPr>
          <w:rFonts w:hint="eastAsia"/>
          <w:spacing w:val="20"/>
          <w:sz w:val="32"/>
          <w:szCs w:val="32"/>
          <w:lang w:val="en-US" w:eastAsia="zh-CN"/>
        </w:rPr>
        <w:t>标准</w:t>
      </w:r>
      <w:bookmarkEnd w:id="0"/>
    </w:p>
    <w:p w14:paraId="3859C204">
      <w:pPr>
        <w:rPr>
          <w:sz w:val="24"/>
          <w:lang w:val="en-US"/>
        </w:rPr>
      </w:pPr>
    </w:p>
    <w:p w14:paraId="20D5E2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35BCC"/>
    <w:rsid w:val="24DB1FEC"/>
    <w:rsid w:val="484D6A5E"/>
    <w:rsid w:val="57237983"/>
    <w:rsid w:val="58B35BCC"/>
    <w:rsid w:val="743F3F03"/>
    <w:rsid w:val="7D35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jc w:val="left"/>
      <w:textAlignment w:val="baseline"/>
    </w:pPr>
    <w:rPr>
      <w:rFonts w:ascii="宋体" w:hAnsi="宋体"/>
      <w:sz w:val="24"/>
      <w:lang w:val="zh-CN" w:bidi="zh-CN"/>
    </w:rPr>
  </w:style>
  <w:style w:type="paragraph" w:styleId="3">
    <w:name w:val="Body Text Indent"/>
    <w:basedOn w:val="1"/>
    <w:qFormat/>
    <w:uiPriority w:val="0"/>
    <w:pPr>
      <w:spacing w:line="580" w:lineRule="exact"/>
      <w:ind w:firstLine="320" w:firstLineChars="100"/>
    </w:pPr>
    <w:rPr>
      <w:rFonts w:ascii="仿宋_GB2312" w:eastAsia="仿宋_GB2312"/>
      <w:kern w:val="0"/>
      <w:sz w:val="32"/>
    </w:rPr>
  </w:style>
  <w:style w:type="paragraph" w:styleId="4">
    <w:name w:val="Body Text First Indent 2"/>
    <w:basedOn w:val="3"/>
    <w:semiHidden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860</Characters>
  <Lines>0</Lines>
  <Paragraphs>0</Paragraphs>
  <TotalTime>2</TotalTime>
  <ScaleCrop>false</ScaleCrop>
  <LinksUpToDate>false</LinksUpToDate>
  <CharactersWithSpaces>875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2025-11-27T02:48:00Z</dcterms:created>
  <dc:creator>Angeladidi</dc:creator>
  <cp:lastModifiedBy>Alisa</cp:lastModifiedBy>
  <dcterms:modified xsi:type="dcterms:W3CDTF">2026-05-12T07:09:50Z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292F607D459A4D36AA20951A1D3BBC7F_13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